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F9077" w14:textId="5E8B6A86" w:rsidR="00BE0787" w:rsidRPr="001A4925" w:rsidRDefault="001A4925" w:rsidP="001A4925">
      <w:pPr>
        <w:pBdr>
          <w:top w:val="single" w:sz="4" w:space="1" w:color="auto"/>
          <w:left w:val="single" w:sz="4" w:space="4" w:color="auto"/>
          <w:bottom w:val="single" w:sz="4" w:space="26" w:color="auto"/>
          <w:right w:val="single" w:sz="4" w:space="31" w:color="auto"/>
        </w:pBdr>
        <w:shd w:val="clear" w:color="auto" w:fill="FFFFFF" w:themeFill="background1"/>
        <w:jc w:val="center"/>
        <w:rPr>
          <w:sz w:val="40"/>
          <w:szCs w:val="40"/>
        </w:rPr>
      </w:pPr>
      <w:r>
        <w:rPr>
          <w:sz w:val="40"/>
          <w:szCs w:val="40"/>
        </w:rPr>
        <w:t>Example of</w:t>
      </w:r>
      <w:r w:rsidR="00A90D64" w:rsidRPr="001A4925">
        <w:rPr>
          <w:sz w:val="40"/>
          <w:szCs w:val="40"/>
        </w:rPr>
        <w:t xml:space="preserve"> advocacy strategy </w:t>
      </w:r>
    </w:p>
    <w:tbl>
      <w:tblPr>
        <w:tblStyle w:val="TableGrid"/>
        <w:tblW w:w="13479" w:type="dxa"/>
        <w:tblLook w:val="04A0" w:firstRow="1" w:lastRow="0" w:firstColumn="1" w:lastColumn="0" w:noHBand="0" w:noVBand="1"/>
      </w:tblPr>
      <w:tblGrid>
        <w:gridCol w:w="1851"/>
        <w:gridCol w:w="1517"/>
        <w:gridCol w:w="1851"/>
        <w:gridCol w:w="3378"/>
        <w:gridCol w:w="1316"/>
        <w:gridCol w:w="1430"/>
        <w:gridCol w:w="2397"/>
      </w:tblGrid>
      <w:tr w:rsidR="00BE0787" w14:paraId="15A1AA08" w14:textId="77777777" w:rsidTr="00B63CD1">
        <w:trPr>
          <w:trHeight w:val="539"/>
        </w:trPr>
        <w:tc>
          <w:tcPr>
            <w:tcW w:w="13479" w:type="dxa"/>
            <w:gridSpan w:val="7"/>
          </w:tcPr>
          <w:p w14:paraId="7C55ED3C" w14:textId="77777777" w:rsidR="00092609" w:rsidRPr="007D5515" w:rsidRDefault="00092609" w:rsidP="00092609">
            <w:pPr>
              <w:pBdr>
                <w:top w:val="dashSmallGap" w:sz="4" w:space="1" w:color="auto"/>
                <w:left w:val="dashSmallGap" w:sz="4" w:space="4" w:color="auto"/>
                <w:bottom w:val="dashSmallGap" w:sz="4" w:space="1" w:color="auto"/>
                <w:right w:val="dashSmallGap" w:sz="4" w:space="4" w:color="auto"/>
              </w:pBdr>
              <w:shd w:val="clear" w:color="auto" w:fill="002060"/>
              <w:jc w:val="center"/>
              <w:rPr>
                <w:sz w:val="28"/>
                <w:szCs w:val="28"/>
              </w:rPr>
            </w:pPr>
            <w:r w:rsidRPr="007D5515">
              <w:rPr>
                <w:sz w:val="28"/>
                <w:szCs w:val="28"/>
              </w:rPr>
              <w:t>AREA C</w:t>
            </w:r>
            <w:r w:rsidR="00C60D71">
              <w:rPr>
                <w:sz w:val="28"/>
                <w:szCs w:val="28"/>
              </w:rPr>
              <w:t>/EAST JERUSALEM</w:t>
            </w:r>
          </w:p>
          <w:p w14:paraId="077B05FF" w14:textId="77777777" w:rsidR="00092609" w:rsidRPr="00A90D64" w:rsidRDefault="00092609" w:rsidP="00092609">
            <w:pPr>
              <w:pBdr>
                <w:top w:val="dashSmallGap" w:sz="4" w:space="1" w:color="auto"/>
                <w:left w:val="dashSmallGap" w:sz="4" w:space="4" w:color="auto"/>
                <w:bottom w:val="dashSmallGap" w:sz="4" w:space="1" w:color="auto"/>
                <w:right w:val="dashSmallGap" w:sz="4" w:space="4" w:color="auto"/>
              </w:pBdr>
              <w:shd w:val="clear" w:color="auto" w:fill="002060"/>
              <w:jc w:val="center"/>
              <w:rPr>
                <w:b/>
                <w:bCs/>
                <w:sz w:val="28"/>
                <w:szCs w:val="28"/>
              </w:rPr>
            </w:pPr>
          </w:p>
        </w:tc>
      </w:tr>
      <w:tr w:rsidR="00530D18" w14:paraId="27684E14" w14:textId="77777777" w:rsidTr="00B63CD1">
        <w:trPr>
          <w:trHeight w:val="1071"/>
        </w:trPr>
        <w:tc>
          <w:tcPr>
            <w:tcW w:w="13479" w:type="dxa"/>
            <w:gridSpan w:val="7"/>
          </w:tcPr>
          <w:p w14:paraId="7604B6B1" w14:textId="77777777" w:rsidR="00530D18" w:rsidRPr="00A90D64" w:rsidRDefault="00530D18" w:rsidP="00BE0787">
            <w:pPr>
              <w:pBdr>
                <w:top w:val="dashSmallGap" w:sz="4" w:space="1" w:color="auto"/>
                <w:left w:val="dashSmallGap" w:sz="4" w:space="4" w:color="auto"/>
                <w:bottom w:val="dashSmallGap" w:sz="4" w:space="1" w:color="auto"/>
                <w:right w:val="dashSmallGap" w:sz="4" w:space="4" w:color="auto"/>
              </w:pBdr>
              <w:shd w:val="clear" w:color="auto" w:fill="E5DFEC" w:themeFill="accent4" w:themeFillTint="33"/>
              <w:rPr>
                <w:b/>
                <w:bCs/>
                <w:sz w:val="28"/>
                <w:szCs w:val="28"/>
              </w:rPr>
            </w:pPr>
            <w:r w:rsidRPr="00A90D64">
              <w:rPr>
                <w:b/>
                <w:bCs/>
                <w:sz w:val="28"/>
                <w:szCs w:val="28"/>
              </w:rPr>
              <w:t>Strategic objective (</w:t>
            </w:r>
            <w:r>
              <w:rPr>
                <w:b/>
                <w:bCs/>
                <w:sz w:val="28"/>
                <w:szCs w:val="28"/>
              </w:rPr>
              <w:t>2</w:t>
            </w:r>
            <w:r w:rsidRPr="00A90D64">
              <w:rPr>
                <w:b/>
                <w:bCs/>
                <w:sz w:val="28"/>
                <w:szCs w:val="28"/>
              </w:rPr>
              <w:t>020)</w:t>
            </w:r>
          </w:p>
          <w:p w14:paraId="2DE19093" w14:textId="77777777" w:rsidR="00092609" w:rsidRDefault="00092609" w:rsidP="00BB6FA2">
            <w:pPr>
              <w:rPr>
                <w:b/>
                <w:bCs/>
              </w:rPr>
            </w:pPr>
          </w:p>
          <w:p w14:paraId="41741D03" w14:textId="77777777" w:rsidR="007D5515" w:rsidRPr="007D5515" w:rsidRDefault="0070514C" w:rsidP="0070514C">
            <w:pPr>
              <w:pStyle w:val="ListParagraph"/>
              <w:numPr>
                <w:ilvl w:val="0"/>
                <w:numId w:val="2"/>
              </w:numPr>
            </w:pPr>
            <w:r>
              <w:t xml:space="preserve">Support Palestinian presence </w:t>
            </w:r>
            <w:r w:rsidR="00B77D94">
              <w:t xml:space="preserve">in Area C and East Jerusalem </w:t>
            </w:r>
            <w:r>
              <w:t xml:space="preserve">and their right to self-determination by </w:t>
            </w:r>
            <w:r w:rsidR="00B77D94">
              <w:t>ensuring they can realize their rights and development</w:t>
            </w:r>
          </w:p>
          <w:p w14:paraId="1E89CC1E" w14:textId="77777777" w:rsidR="00092609" w:rsidRPr="00BB6FA2" w:rsidRDefault="00092609" w:rsidP="00BB6FA2"/>
        </w:tc>
      </w:tr>
      <w:tr w:rsidR="002F406C" w14:paraId="691D4EAF" w14:textId="77777777" w:rsidTr="002F406C">
        <w:trPr>
          <w:trHeight w:val="395"/>
        </w:trPr>
        <w:tc>
          <w:tcPr>
            <w:tcW w:w="13479" w:type="dxa"/>
            <w:gridSpan w:val="7"/>
          </w:tcPr>
          <w:p w14:paraId="67880B10" w14:textId="77777777" w:rsidR="002F406C" w:rsidRPr="00A90D64" w:rsidRDefault="002F406C" w:rsidP="002F406C">
            <w:pPr>
              <w:shd w:val="clear" w:color="auto" w:fill="F2F2F2" w:themeFill="background1" w:themeFillShade="F2"/>
              <w:rPr>
                <w:b/>
                <w:bCs/>
                <w:sz w:val="28"/>
                <w:szCs w:val="28"/>
              </w:rPr>
            </w:pPr>
            <w:r>
              <w:rPr>
                <w:b/>
                <w:bCs/>
                <w:sz w:val="28"/>
                <w:szCs w:val="28"/>
              </w:rPr>
              <w:t>Mid-term objective (2015-2019)</w:t>
            </w:r>
          </w:p>
        </w:tc>
      </w:tr>
      <w:tr w:rsidR="002F406C" w14:paraId="7621F840" w14:textId="77777777" w:rsidTr="002F406C">
        <w:trPr>
          <w:trHeight w:val="1160"/>
        </w:trPr>
        <w:tc>
          <w:tcPr>
            <w:tcW w:w="13479" w:type="dxa"/>
            <w:gridSpan w:val="7"/>
          </w:tcPr>
          <w:p w14:paraId="246082AB" w14:textId="77777777" w:rsidR="002F406C" w:rsidRDefault="002F406C" w:rsidP="002F406C">
            <w:pPr>
              <w:pStyle w:val="ListParagraph"/>
            </w:pPr>
          </w:p>
          <w:p w14:paraId="25818D99" w14:textId="77777777" w:rsidR="002F406C" w:rsidRPr="002F406C" w:rsidRDefault="002F406C" w:rsidP="002F406C">
            <w:pPr>
              <w:pStyle w:val="ListParagraph"/>
              <w:numPr>
                <w:ilvl w:val="0"/>
                <w:numId w:val="2"/>
              </w:numPr>
            </w:pPr>
            <w:r>
              <w:t>Palestinian control over planning processes in Area C; planning in Area C is implemented in line with IHL</w:t>
            </w:r>
            <w:r w:rsidR="0022553F">
              <w:t xml:space="preserve"> and for the benefit of the Palestinian population </w:t>
            </w:r>
          </w:p>
        </w:tc>
      </w:tr>
      <w:tr w:rsidR="00530D18" w14:paraId="4B8365A1" w14:textId="77777777" w:rsidTr="00B63CD1">
        <w:trPr>
          <w:trHeight w:val="1693"/>
        </w:trPr>
        <w:tc>
          <w:tcPr>
            <w:tcW w:w="13479" w:type="dxa"/>
            <w:gridSpan w:val="7"/>
          </w:tcPr>
          <w:p w14:paraId="103DAF02" w14:textId="77777777" w:rsidR="00AA5779" w:rsidRPr="00C6487D" w:rsidRDefault="00530D18" w:rsidP="00C6487D">
            <w:pPr>
              <w:shd w:val="clear" w:color="auto" w:fill="F2F2F2" w:themeFill="background1" w:themeFillShade="F2"/>
              <w:rPr>
                <w:b/>
                <w:bCs/>
                <w:sz w:val="28"/>
                <w:szCs w:val="28"/>
              </w:rPr>
            </w:pPr>
            <w:r w:rsidRPr="00A90D64">
              <w:rPr>
                <w:b/>
                <w:bCs/>
                <w:sz w:val="28"/>
                <w:szCs w:val="28"/>
              </w:rPr>
              <w:t>Sub</w:t>
            </w:r>
            <w:r w:rsidRPr="00BE0787">
              <w:rPr>
                <w:b/>
                <w:bCs/>
                <w:sz w:val="28"/>
                <w:szCs w:val="28"/>
                <w:shd w:val="clear" w:color="auto" w:fill="E5DFEC" w:themeFill="accent4" w:themeFillTint="33"/>
              </w:rPr>
              <w:t>-</w:t>
            </w:r>
            <w:r w:rsidRPr="00A90D64">
              <w:rPr>
                <w:b/>
                <w:bCs/>
                <w:sz w:val="28"/>
                <w:szCs w:val="28"/>
              </w:rPr>
              <w:t>objective</w:t>
            </w:r>
            <w:r w:rsidR="0070514C">
              <w:rPr>
                <w:b/>
                <w:bCs/>
                <w:sz w:val="28"/>
                <w:szCs w:val="28"/>
              </w:rPr>
              <w:t>(</w:t>
            </w:r>
            <w:r w:rsidRPr="00A90D64">
              <w:rPr>
                <w:b/>
                <w:bCs/>
                <w:sz w:val="28"/>
                <w:szCs w:val="28"/>
              </w:rPr>
              <w:t>s</w:t>
            </w:r>
            <w:r w:rsidR="0070514C">
              <w:rPr>
                <w:b/>
                <w:bCs/>
                <w:sz w:val="28"/>
                <w:szCs w:val="28"/>
              </w:rPr>
              <w:t>)</w:t>
            </w:r>
            <w:r w:rsidRPr="00A90D64">
              <w:rPr>
                <w:b/>
                <w:bCs/>
                <w:sz w:val="28"/>
                <w:szCs w:val="28"/>
              </w:rPr>
              <w:t xml:space="preserve"> </w:t>
            </w:r>
            <w:r w:rsidR="0070514C">
              <w:rPr>
                <w:b/>
                <w:bCs/>
                <w:sz w:val="28"/>
                <w:szCs w:val="28"/>
              </w:rPr>
              <w:t>for 2014</w:t>
            </w:r>
          </w:p>
          <w:p w14:paraId="296F87AA" w14:textId="77777777" w:rsidR="00530D18" w:rsidRDefault="0070514C" w:rsidP="00BA1AD7">
            <w:pPr>
              <w:pStyle w:val="ListParagraph"/>
              <w:numPr>
                <w:ilvl w:val="0"/>
                <w:numId w:val="10"/>
              </w:numPr>
              <w:pBdr>
                <w:top w:val="dashSmallGap" w:sz="4" w:space="1" w:color="auto"/>
                <w:left w:val="dashSmallGap" w:sz="4" w:space="4" w:color="auto"/>
                <w:bottom w:val="dashSmallGap" w:sz="4" w:space="1" w:color="auto"/>
                <w:right w:val="dashSmallGap" w:sz="4" w:space="4" w:color="auto"/>
              </w:pBdr>
            </w:pPr>
            <w:r>
              <w:t xml:space="preserve">By the end of 2014, the EU </w:t>
            </w:r>
            <w:r w:rsidR="00D12C91">
              <w:t xml:space="preserve">has adapted a </w:t>
            </w:r>
            <w:r w:rsidR="00BA1AD7">
              <w:t xml:space="preserve">joint-response plan to </w:t>
            </w:r>
            <w:r w:rsidR="00266169">
              <w:t xml:space="preserve">address </w:t>
            </w:r>
            <w:r>
              <w:t>demolitions, access restrictions, aid confiscation, and forced displacement in Area C and East Jerusalem</w:t>
            </w:r>
          </w:p>
          <w:p w14:paraId="36B4577B" w14:textId="77777777" w:rsidR="00216FC3" w:rsidRDefault="00216FC3" w:rsidP="00216FC3">
            <w:pPr>
              <w:pStyle w:val="ListParagraph"/>
              <w:pBdr>
                <w:top w:val="dashSmallGap" w:sz="4" w:space="1" w:color="auto"/>
                <w:left w:val="dashSmallGap" w:sz="4" w:space="4" w:color="auto"/>
                <w:bottom w:val="dashSmallGap" w:sz="4" w:space="1" w:color="auto"/>
                <w:right w:val="dashSmallGap" w:sz="4" w:space="4" w:color="auto"/>
              </w:pBdr>
            </w:pPr>
            <w:r>
              <w:t>Results:</w:t>
            </w:r>
          </w:p>
          <w:p w14:paraId="3F8CD18A" w14:textId="77777777" w:rsidR="000C616C" w:rsidRDefault="000C616C" w:rsidP="000C616C">
            <w:pPr>
              <w:pStyle w:val="ListParagraph"/>
              <w:numPr>
                <w:ilvl w:val="0"/>
                <w:numId w:val="12"/>
              </w:numPr>
            </w:pPr>
            <w:r>
              <w:t>EU and member states adopt and implement an effective joint response plan that protects their investments in Area C</w:t>
            </w:r>
          </w:p>
          <w:p w14:paraId="184F7C64" w14:textId="77777777" w:rsidR="000C616C" w:rsidRDefault="000C616C" w:rsidP="000C616C">
            <w:pPr>
              <w:pStyle w:val="ListParagraph"/>
              <w:numPr>
                <w:ilvl w:val="0"/>
                <w:numId w:val="12"/>
              </w:numPr>
            </w:pPr>
            <w:r>
              <w:t>EU and member states proceed with construction of humanitarian projects without permits</w:t>
            </w:r>
          </w:p>
          <w:p w14:paraId="3C63D953" w14:textId="77777777" w:rsidR="000C616C" w:rsidRDefault="000C616C" w:rsidP="000C616C">
            <w:pPr>
              <w:pStyle w:val="ListParagraph"/>
              <w:numPr>
                <w:ilvl w:val="0"/>
                <w:numId w:val="12"/>
              </w:numPr>
            </w:pPr>
            <w:r>
              <w:t>EU and member states move ahead with construction in master planned areas after 6 month notification period</w:t>
            </w:r>
          </w:p>
          <w:p w14:paraId="5D952C8D" w14:textId="77777777" w:rsidR="000C616C" w:rsidRDefault="000C616C" w:rsidP="000C616C">
            <w:pPr>
              <w:pStyle w:val="ListParagraph"/>
              <w:numPr>
                <w:ilvl w:val="0"/>
                <w:numId w:val="12"/>
              </w:numPr>
            </w:pPr>
            <w:r>
              <w:t>EU and member states are publicly calling for a demolition freeze</w:t>
            </w:r>
          </w:p>
          <w:p w14:paraId="3EDB108A" w14:textId="77777777" w:rsidR="000C616C" w:rsidRDefault="000C616C" w:rsidP="000C616C">
            <w:pPr>
              <w:pStyle w:val="ListParagraph"/>
              <w:numPr>
                <w:ilvl w:val="0"/>
                <w:numId w:val="12"/>
              </w:numPr>
            </w:pPr>
            <w:r>
              <w:t>EU and member states are using political tools to hold Israel accountable for violations such as demolition, forced displacement, and aid restrictions/confiscations/destruction</w:t>
            </w:r>
          </w:p>
          <w:p w14:paraId="75164683" w14:textId="77777777" w:rsidR="00BA1AD7" w:rsidRDefault="00BA1AD7" w:rsidP="00BA1AD7">
            <w:pPr>
              <w:pStyle w:val="ListParagraph"/>
              <w:numPr>
                <w:ilvl w:val="0"/>
                <w:numId w:val="10"/>
              </w:numPr>
              <w:pBdr>
                <w:top w:val="dashSmallGap" w:sz="4" w:space="1" w:color="auto"/>
                <w:left w:val="dashSmallGap" w:sz="4" w:space="4" w:color="auto"/>
                <w:bottom w:val="dashSmallGap" w:sz="4" w:space="1" w:color="auto"/>
                <w:right w:val="dashSmallGap" w:sz="4" w:space="4" w:color="auto"/>
              </w:pBdr>
            </w:pPr>
            <w:r w:rsidRPr="00BA1AD7">
              <w:t xml:space="preserve">By the end of 2014, the PA </w:t>
            </w:r>
            <w:r w:rsidR="00216FC3">
              <w:t xml:space="preserve">has raised the issue of </w:t>
            </w:r>
            <w:r w:rsidRPr="00BA1AD7">
              <w:t xml:space="preserve">demolition and forced displacement </w:t>
            </w:r>
            <w:r w:rsidR="00216FC3">
              <w:t xml:space="preserve">to a political level </w:t>
            </w:r>
            <w:r w:rsidRPr="00BA1AD7">
              <w:t xml:space="preserve">and is implementing a national </w:t>
            </w:r>
            <w:r w:rsidR="00216FC3">
              <w:t xml:space="preserve">planning </w:t>
            </w:r>
            <w:r w:rsidRPr="00BA1AD7">
              <w:t xml:space="preserve">framework for Area C that </w:t>
            </w:r>
            <w:r w:rsidR="00216FC3">
              <w:t xml:space="preserve">comprehensively addresses demolition and forced displacement </w:t>
            </w:r>
            <w:r w:rsidRPr="00BA1AD7">
              <w:t>in line with IHL</w:t>
            </w:r>
          </w:p>
          <w:p w14:paraId="729BFB42" w14:textId="77777777" w:rsidR="00216FC3" w:rsidRPr="00BA1AD7" w:rsidRDefault="00216FC3" w:rsidP="00216FC3">
            <w:pPr>
              <w:pStyle w:val="ListParagraph"/>
              <w:pBdr>
                <w:top w:val="dashSmallGap" w:sz="4" w:space="1" w:color="auto"/>
                <w:left w:val="dashSmallGap" w:sz="4" w:space="4" w:color="auto"/>
                <w:bottom w:val="dashSmallGap" w:sz="4" w:space="1" w:color="auto"/>
                <w:right w:val="dashSmallGap" w:sz="4" w:space="4" w:color="auto"/>
              </w:pBdr>
            </w:pPr>
            <w:r>
              <w:t>Results:</w:t>
            </w:r>
          </w:p>
          <w:p w14:paraId="650313ED" w14:textId="77777777" w:rsidR="00530D18" w:rsidRPr="00004C18" w:rsidRDefault="00004C18" w:rsidP="00004C18">
            <w:pPr>
              <w:pStyle w:val="ListParagraph"/>
              <w:numPr>
                <w:ilvl w:val="0"/>
                <w:numId w:val="13"/>
              </w:numPr>
              <w:pBdr>
                <w:top w:val="dashSmallGap" w:sz="4" w:space="1" w:color="auto"/>
                <w:left w:val="dashSmallGap" w:sz="4" w:space="4" w:color="auto"/>
                <w:bottom w:val="dashSmallGap" w:sz="4" w:space="1" w:color="auto"/>
                <w:right w:val="dashSmallGap" w:sz="4" w:space="4" w:color="auto"/>
              </w:pBdr>
            </w:pPr>
            <w:r w:rsidRPr="00004C18">
              <w:t>The PA is actively pushing for a demolition freeze</w:t>
            </w:r>
          </w:p>
          <w:p w14:paraId="42205C2A" w14:textId="77777777" w:rsidR="00004C18" w:rsidRPr="00004C18" w:rsidRDefault="00004C18" w:rsidP="00004C18">
            <w:pPr>
              <w:pStyle w:val="ListParagraph"/>
              <w:numPr>
                <w:ilvl w:val="0"/>
                <w:numId w:val="13"/>
              </w:numPr>
              <w:pBdr>
                <w:top w:val="dashSmallGap" w:sz="4" w:space="1" w:color="auto"/>
                <w:left w:val="dashSmallGap" w:sz="4" w:space="4" w:color="auto"/>
                <w:bottom w:val="dashSmallGap" w:sz="4" w:space="1" w:color="auto"/>
                <w:right w:val="dashSmallGap" w:sz="4" w:space="4" w:color="auto"/>
              </w:pBdr>
            </w:pPr>
            <w:r w:rsidRPr="00004C18">
              <w:t>The PA is systematically calling for reparation on behalf of Palestinians affected by demolition/displacement</w:t>
            </w:r>
          </w:p>
          <w:p w14:paraId="6E7C94C4" w14:textId="77777777" w:rsidR="00004C18" w:rsidRPr="00004C18" w:rsidRDefault="00004C18" w:rsidP="00004C18">
            <w:pPr>
              <w:pStyle w:val="ListParagraph"/>
              <w:numPr>
                <w:ilvl w:val="0"/>
                <w:numId w:val="13"/>
              </w:numPr>
              <w:pBdr>
                <w:top w:val="dashSmallGap" w:sz="4" w:space="1" w:color="auto"/>
                <w:left w:val="dashSmallGap" w:sz="4" w:space="4" w:color="auto"/>
                <w:bottom w:val="dashSmallGap" w:sz="4" w:space="1" w:color="auto"/>
                <w:right w:val="dashSmallGap" w:sz="4" w:space="4" w:color="auto"/>
              </w:pBdr>
            </w:pPr>
            <w:r w:rsidRPr="00004C18">
              <w:t>The PA is actively pushing donors to seek permits issued by Palestinian planning committees in Area C</w:t>
            </w:r>
          </w:p>
          <w:p w14:paraId="3C64176B" w14:textId="77777777" w:rsidR="00004C18" w:rsidRPr="00004C18" w:rsidRDefault="00004C18" w:rsidP="00004C18">
            <w:pPr>
              <w:pStyle w:val="ListParagraph"/>
              <w:numPr>
                <w:ilvl w:val="0"/>
                <w:numId w:val="13"/>
              </w:numPr>
              <w:pBdr>
                <w:top w:val="dashSmallGap" w:sz="4" w:space="1" w:color="auto"/>
                <w:left w:val="dashSmallGap" w:sz="4" w:space="4" w:color="auto"/>
                <w:bottom w:val="dashSmallGap" w:sz="4" w:space="1" w:color="auto"/>
                <w:right w:val="dashSmallGap" w:sz="4" w:space="4" w:color="auto"/>
              </w:pBdr>
            </w:pPr>
            <w:r w:rsidRPr="00004C18">
              <w:lastRenderedPageBreak/>
              <w:t>The PA is pressuring donors to fund development for the best interest of communities within a national spatial plan that includes Area C and East Jerusalem</w:t>
            </w:r>
            <w:r w:rsidR="00216FC3">
              <w:t xml:space="preserve"> and that upholds IHL</w:t>
            </w:r>
          </w:p>
          <w:p w14:paraId="66E33338" w14:textId="77777777" w:rsidR="007E6011" w:rsidRDefault="007E6011" w:rsidP="0070514C">
            <w:pPr>
              <w:tabs>
                <w:tab w:val="left" w:pos="5670"/>
              </w:tabs>
              <w:rPr>
                <w:b/>
                <w:bCs/>
              </w:rPr>
            </w:pPr>
          </w:p>
          <w:p w14:paraId="3530D2E5" w14:textId="77777777" w:rsidR="00DD0EC8" w:rsidRPr="007E6011" w:rsidRDefault="00DD0EC8" w:rsidP="0070514C">
            <w:pPr>
              <w:tabs>
                <w:tab w:val="left" w:pos="5670"/>
              </w:tabs>
              <w:rPr>
                <w:b/>
                <w:bCs/>
                <w:sz w:val="28"/>
                <w:szCs w:val="28"/>
              </w:rPr>
            </w:pPr>
            <w:r w:rsidRPr="007E6011">
              <w:rPr>
                <w:b/>
                <w:bCs/>
                <w:sz w:val="28"/>
                <w:szCs w:val="28"/>
              </w:rPr>
              <w:t>Power analysis for sub-objective 1</w:t>
            </w:r>
          </w:p>
          <w:p w14:paraId="2D177615" w14:textId="77777777" w:rsidR="00DD0EC8" w:rsidRDefault="00DD0EC8" w:rsidP="0070514C">
            <w:pPr>
              <w:tabs>
                <w:tab w:val="left" w:pos="5670"/>
              </w:tabs>
              <w:rPr>
                <w:b/>
                <w:bCs/>
              </w:rPr>
            </w:pPr>
          </w:p>
          <w:p w14:paraId="7819C3C4" w14:textId="77777777" w:rsidR="0070514C" w:rsidRDefault="0070514C" w:rsidP="0070514C">
            <w:pPr>
              <w:tabs>
                <w:tab w:val="left" w:pos="5670"/>
              </w:tabs>
              <w:rPr>
                <w:b/>
                <w:bCs/>
              </w:rPr>
            </w:pPr>
            <w:r w:rsidRPr="0070514C">
              <w:rPr>
                <w:b/>
                <w:bCs/>
              </w:rPr>
              <w:t>Main targets</w:t>
            </w:r>
            <w:r w:rsidR="002F2A87">
              <w:rPr>
                <w:b/>
                <w:bCs/>
              </w:rPr>
              <w:t xml:space="preserve"> (based on </w:t>
            </w:r>
            <w:r w:rsidR="007E6011">
              <w:rPr>
                <w:b/>
                <w:bCs/>
              </w:rPr>
              <w:t>expected impact</w:t>
            </w:r>
            <w:r w:rsidR="00805CC7">
              <w:rPr>
                <w:b/>
                <w:bCs/>
              </w:rPr>
              <w:t xml:space="preserve">, </w:t>
            </w:r>
            <w:r w:rsidR="002F2A87">
              <w:rPr>
                <w:b/>
                <w:bCs/>
              </w:rPr>
              <w:t>resources &amp; access)</w:t>
            </w:r>
            <w:r w:rsidR="003E5428">
              <w:rPr>
                <w:b/>
                <w:bCs/>
              </w:rPr>
              <w:t xml:space="preserve">: </w:t>
            </w:r>
            <w:r w:rsidR="000F4D19">
              <w:rPr>
                <w:b/>
                <w:bCs/>
              </w:rPr>
              <w:t xml:space="preserve">EU/EEAS (in Brussels), </w:t>
            </w:r>
            <w:r w:rsidR="00805CC7">
              <w:rPr>
                <w:b/>
                <w:bCs/>
              </w:rPr>
              <w:t xml:space="preserve">France (in Tel Aviv, Paris), </w:t>
            </w:r>
            <w:r w:rsidR="003E5428">
              <w:rPr>
                <w:b/>
                <w:bCs/>
              </w:rPr>
              <w:t>Germany</w:t>
            </w:r>
            <w:r w:rsidR="00DD0EC8">
              <w:rPr>
                <w:b/>
                <w:bCs/>
              </w:rPr>
              <w:t xml:space="preserve"> (in Ramallah, Tel Aviv, Berlin)</w:t>
            </w:r>
            <w:r w:rsidR="003E5428">
              <w:rPr>
                <w:b/>
                <w:bCs/>
              </w:rPr>
              <w:t>, Italy</w:t>
            </w:r>
            <w:r w:rsidR="00DD0EC8">
              <w:rPr>
                <w:b/>
                <w:bCs/>
              </w:rPr>
              <w:t xml:space="preserve"> (in Jerusalem, Tel Aviv, Rome)</w:t>
            </w:r>
            <w:r w:rsidR="003E5428">
              <w:rPr>
                <w:b/>
                <w:bCs/>
              </w:rPr>
              <w:t xml:space="preserve">, </w:t>
            </w:r>
            <w:r w:rsidR="00DD0EC8">
              <w:rPr>
                <w:b/>
                <w:bCs/>
              </w:rPr>
              <w:t>UK (in Jerusalem, Tel Aviv, London), the Netherlands (in Jerusalem, Tel Aviv, Amsterdam), Jerusalem Consulates &amp; Tel Aviv Embassies for Poland, Eastern European States</w:t>
            </w:r>
          </w:p>
          <w:p w14:paraId="0F7822A1" w14:textId="77777777" w:rsidR="00805CC7" w:rsidRDefault="00805CC7" w:rsidP="0070514C">
            <w:pPr>
              <w:tabs>
                <w:tab w:val="left" w:pos="5670"/>
              </w:tabs>
              <w:rPr>
                <w:b/>
                <w:bCs/>
              </w:rPr>
            </w:pPr>
          </w:p>
          <w:p w14:paraId="0ED527AC" w14:textId="77777777" w:rsidR="00805CC7" w:rsidRDefault="00805CC7" w:rsidP="0070514C">
            <w:pPr>
              <w:tabs>
                <w:tab w:val="left" w:pos="5670"/>
              </w:tabs>
              <w:rPr>
                <w:b/>
                <w:bCs/>
              </w:rPr>
            </w:pPr>
            <w:r>
              <w:rPr>
                <w:b/>
                <w:bCs/>
              </w:rPr>
              <w:t>Overall stakeholder analysis:</w:t>
            </w:r>
          </w:p>
          <w:p w14:paraId="225FB945" w14:textId="77777777" w:rsidR="0070514C" w:rsidRDefault="0070514C" w:rsidP="0070514C">
            <w:pPr>
              <w:tabs>
                <w:tab w:val="left" w:pos="5670"/>
              </w:tabs>
              <w:rPr>
                <w:b/>
                <w:bCs/>
              </w:rPr>
            </w:pPr>
          </w:p>
          <w:p w14:paraId="4D533FFE" w14:textId="77777777" w:rsidR="00F40AD3" w:rsidRDefault="0070514C" w:rsidP="0070514C">
            <w:pPr>
              <w:tabs>
                <w:tab w:val="left" w:pos="5670"/>
              </w:tabs>
              <w:rPr>
                <w:b/>
                <w:bCs/>
              </w:rPr>
            </w:pPr>
            <w:r>
              <w:rPr>
                <w:b/>
                <w:bCs/>
              </w:rPr>
              <w:t xml:space="preserve">Blockers: Germany, Italy, the United States, the Quartet, UNSCO, </w:t>
            </w:r>
            <w:r w:rsidR="00F40AD3">
              <w:rPr>
                <w:b/>
                <w:bCs/>
              </w:rPr>
              <w:t xml:space="preserve">ICRC, </w:t>
            </w:r>
            <w:r w:rsidR="00DD0EC8">
              <w:rPr>
                <w:b/>
                <w:bCs/>
              </w:rPr>
              <w:t xml:space="preserve">EU Member States’ </w:t>
            </w:r>
            <w:r>
              <w:rPr>
                <w:b/>
                <w:bCs/>
              </w:rPr>
              <w:t>Embassies in Tel Aviv,</w:t>
            </w:r>
            <w:r w:rsidR="00F40AD3">
              <w:rPr>
                <w:b/>
                <w:bCs/>
              </w:rPr>
              <w:t xml:space="preserve"> Austria, Poland, Eastern European States</w:t>
            </w:r>
          </w:p>
          <w:p w14:paraId="0DCAC865" w14:textId="77777777" w:rsidR="00F40AD3" w:rsidRDefault="00F40AD3" w:rsidP="0070514C">
            <w:pPr>
              <w:tabs>
                <w:tab w:val="left" w:pos="5670"/>
              </w:tabs>
              <w:rPr>
                <w:b/>
                <w:bCs/>
              </w:rPr>
            </w:pPr>
          </w:p>
          <w:p w14:paraId="37768B5B" w14:textId="77777777" w:rsidR="00F40AD3" w:rsidRDefault="00F40AD3" w:rsidP="0070514C">
            <w:pPr>
              <w:tabs>
                <w:tab w:val="left" w:pos="5670"/>
              </w:tabs>
              <w:rPr>
                <w:b/>
                <w:bCs/>
              </w:rPr>
            </w:pPr>
            <w:r>
              <w:rPr>
                <w:b/>
                <w:bCs/>
              </w:rPr>
              <w:t>Floaters</w:t>
            </w:r>
            <w:r w:rsidR="003E5428">
              <w:rPr>
                <w:b/>
                <w:bCs/>
              </w:rPr>
              <w:t>: the UK,</w:t>
            </w:r>
            <w:r>
              <w:rPr>
                <w:b/>
                <w:bCs/>
              </w:rPr>
              <w:t xml:space="preserve"> the Netherlands, Norway, </w:t>
            </w:r>
            <w:r w:rsidR="002F2A87">
              <w:rPr>
                <w:b/>
                <w:bCs/>
              </w:rPr>
              <w:t xml:space="preserve">Belgium, </w:t>
            </w:r>
            <w:r>
              <w:rPr>
                <w:b/>
                <w:bCs/>
              </w:rPr>
              <w:t>UNDP</w:t>
            </w:r>
            <w:r w:rsidR="0022553F">
              <w:rPr>
                <w:b/>
                <w:bCs/>
              </w:rPr>
              <w:t xml:space="preserve">, </w:t>
            </w:r>
            <w:r w:rsidR="003E5428">
              <w:rPr>
                <w:b/>
                <w:bCs/>
              </w:rPr>
              <w:t xml:space="preserve">PA </w:t>
            </w:r>
            <w:r w:rsidR="0022553F">
              <w:rPr>
                <w:b/>
                <w:bCs/>
              </w:rPr>
              <w:t>MOPAD</w:t>
            </w:r>
            <w:r w:rsidR="003E5428">
              <w:rPr>
                <w:b/>
                <w:bCs/>
              </w:rPr>
              <w:t xml:space="preserve">, PA </w:t>
            </w:r>
            <w:proofErr w:type="spellStart"/>
            <w:r w:rsidR="003E5428">
              <w:rPr>
                <w:b/>
                <w:bCs/>
              </w:rPr>
              <w:t>OoP</w:t>
            </w:r>
            <w:proofErr w:type="spellEnd"/>
            <w:r w:rsidR="003E5428">
              <w:rPr>
                <w:b/>
                <w:bCs/>
              </w:rPr>
              <w:t>, PA PMO</w:t>
            </w:r>
          </w:p>
          <w:p w14:paraId="59CCF288" w14:textId="77777777" w:rsidR="00F40AD3" w:rsidRDefault="00F40AD3" w:rsidP="0070514C">
            <w:pPr>
              <w:tabs>
                <w:tab w:val="left" w:pos="5670"/>
              </w:tabs>
              <w:rPr>
                <w:b/>
                <w:bCs/>
              </w:rPr>
            </w:pPr>
          </w:p>
          <w:p w14:paraId="26812865" w14:textId="77777777" w:rsidR="00F40AD3" w:rsidRDefault="00F40AD3" w:rsidP="0070514C">
            <w:pPr>
              <w:tabs>
                <w:tab w:val="left" w:pos="5670"/>
              </w:tabs>
              <w:rPr>
                <w:b/>
                <w:bCs/>
              </w:rPr>
            </w:pPr>
            <w:r>
              <w:rPr>
                <w:b/>
                <w:bCs/>
              </w:rPr>
              <w:t xml:space="preserve">Allies: France, the EU, </w:t>
            </w:r>
            <w:r w:rsidR="0022553F">
              <w:rPr>
                <w:b/>
                <w:bCs/>
              </w:rPr>
              <w:t xml:space="preserve">Sweden, Switzerland, </w:t>
            </w:r>
            <w:r>
              <w:rPr>
                <w:b/>
                <w:bCs/>
              </w:rPr>
              <w:t xml:space="preserve">Spain, Ireland, OCHA, </w:t>
            </w:r>
            <w:r w:rsidR="0022553F">
              <w:rPr>
                <w:b/>
                <w:bCs/>
              </w:rPr>
              <w:t xml:space="preserve">EU </w:t>
            </w:r>
            <w:r>
              <w:rPr>
                <w:b/>
                <w:bCs/>
              </w:rPr>
              <w:t>Consulates &amp; Rep Offices</w:t>
            </w:r>
            <w:r w:rsidR="0022553F">
              <w:rPr>
                <w:b/>
                <w:bCs/>
              </w:rPr>
              <w:t xml:space="preserve">, NSU, PA </w:t>
            </w:r>
            <w:proofErr w:type="spellStart"/>
            <w:r w:rsidR="0022553F">
              <w:rPr>
                <w:b/>
                <w:bCs/>
              </w:rPr>
              <w:t>MoFA</w:t>
            </w:r>
            <w:proofErr w:type="spellEnd"/>
            <w:r w:rsidR="0022553F">
              <w:rPr>
                <w:b/>
                <w:bCs/>
              </w:rPr>
              <w:t xml:space="preserve">, PA </w:t>
            </w:r>
            <w:proofErr w:type="spellStart"/>
            <w:r w:rsidR="0022553F">
              <w:rPr>
                <w:b/>
                <w:bCs/>
              </w:rPr>
              <w:t>MoLG</w:t>
            </w:r>
            <w:proofErr w:type="spellEnd"/>
            <w:r w:rsidR="0022553F">
              <w:rPr>
                <w:b/>
                <w:bCs/>
              </w:rPr>
              <w:t>, UNHABITAT</w:t>
            </w:r>
          </w:p>
          <w:p w14:paraId="43F76E21" w14:textId="77777777" w:rsidR="00DD0EC8" w:rsidRDefault="0070514C" w:rsidP="002F2A87">
            <w:pPr>
              <w:tabs>
                <w:tab w:val="left" w:pos="5670"/>
              </w:tabs>
              <w:rPr>
                <w:b/>
                <w:bCs/>
              </w:rPr>
            </w:pPr>
            <w:r>
              <w:rPr>
                <w:b/>
                <w:bCs/>
              </w:rPr>
              <w:t xml:space="preserve"> </w:t>
            </w:r>
          </w:p>
          <w:p w14:paraId="0648ADC0" w14:textId="77777777" w:rsidR="00DD0EC8" w:rsidRDefault="002F2A87" w:rsidP="00DD0EC8">
            <w:pPr>
              <w:tabs>
                <w:tab w:val="left" w:pos="5670"/>
              </w:tabs>
              <w:rPr>
                <w:b/>
                <w:bCs/>
              </w:rPr>
            </w:pPr>
            <w:r>
              <w:t xml:space="preserve">Strategic Partners: CIDSE, </w:t>
            </w:r>
            <w:proofErr w:type="spellStart"/>
            <w:r>
              <w:t>Approdev</w:t>
            </w:r>
            <w:proofErr w:type="spellEnd"/>
            <w:r>
              <w:t xml:space="preserve">, Human Rights Watch, Mattin Group, </w:t>
            </w:r>
            <w:proofErr w:type="spellStart"/>
            <w:r>
              <w:t>Bimkom</w:t>
            </w:r>
            <w:proofErr w:type="spellEnd"/>
            <w:r>
              <w:t xml:space="preserve">, </w:t>
            </w:r>
            <w:proofErr w:type="spellStart"/>
            <w:r>
              <w:t>Btselem</w:t>
            </w:r>
            <w:proofErr w:type="spellEnd"/>
            <w:r>
              <w:t xml:space="preserve">, </w:t>
            </w:r>
            <w:proofErr w:type="spellStart"/>
            <w:r>
              <w:t>PeaceNow</w:t>
            </w:r>
            <w:proofErr w:type="spellEnd"/>
            <w:r>
              <w:t xml:space="preserve">, OCHA, </w:t>
            </w:r>
            <w:proofErr w:type="spellStart"/>
            <w:r>
              <w:t>Badil</w:t>
            </w:r>
            <w:proofErr w:type="spellEnd"/>
            <w:r>
              <w:t xml:space="preserve">, Al </w:t>
            </w:r>
            <w:proofErr w:type="spellStart"/>
            <w:r>
              <w:t>Haq</w:t>
            </w:r>
            <w:proofErr w:type="spellEnd"/>
            <w:r>
              <w:t xml:space="preserve">, </w:t>
            </w:r>
            <w:proofErr w:type="spellStart"/>
            <w:r>
              <w:t>Maan</w:t>
            </w:r>
            <w:proofErr w:type="spellEnd"/>
            <w:r>
              <w:t xml:space="preserve"> Development Center, St. Ives</w:t>
            </w:r>
            <w:r w:rsidR="00EE1DAF">
              <w:t>, HCT AWG, CSAWGD</w:t>
            </w:r>
          </w:p>
          <w:p w14:paraId="2D3E5659" w14:textId="77777777" w:rsidR="0070514C" w:rsidRPr="0070514C" w:rsidRDefault="0070514C" w:rsidP="002F2A87">
            <w:pPr>
              <w:tabs>
                <w:tab w:val="left" w:pos="5670"/>
              </w:tabs>
              <w:rPr>
                <w:b/>
                <w:bCs/>
              </w:rPr>
            </w:pPr>
          </w:p>
        </w:tc>
      </w:tr>
      <w:tr w:rsidR="00530D18" w14:paraId="5A635323" w14:textId="77777777" w:rsidTr="00B63CD1">
        <w:trPr>
          <w:trHeight w:val="692"/>
        </w:trPr>
        <w:tc>
          <w:tcPr>
            <w:tcW w:w="13479" w:type="dxa"/>
            <w:gridSpan w:val="7"/>
          </w:tcPr>
          <w:p w14:paraId="0ADEAE67" w14:textId="77777777" w:rsidR="002F2A87" w:rsidRPr="007E6011" w:rsidRDefault="002F2A87" w:rsidP="002F2A87">
            <w:pPr>
              <w:tabs>
                <w:tab w:val="left" w:pos="5670"/>
              </w:tabs>
              <w:rPr>
                <w:b/>
                <w:bCs/>
                <w:sz w:val="28"/>
                <w:szCs w:val="28"/>
              </w:rPr>
            </w:pPr>
            <w:r w:rsidRPr="007E6011">
              <w:rPr>
                <w:b/>
                <w:bCs/>
                <w:sz w:val="28"/>
                <w:szCs w:val="28"/>
              </w:rPr>
              <w:lastRenderedPageBreak/>
              <w:t>Power analysis for sub-objective 2</w:t>
            </w:r>
          </w:p>
          <w:p w14:paraId="1BD561E3" w14:textId="77777777" w:rsidR="002F2A87" w:rsidRDefault="002F2A87" w:rsidP="002F2A87">
            <w:pPr>
              <w:tabs>
                <w:tab w:val="left" w:pos="5670"/>
              </w:tabs>
              <w:rPr>
                <w:b/>
                <w:bCs/>
              </w:rPr>
            </w:pPr>
          </w:p>
          <w:p w14:paraId="64190B58" w14:textId="77777777" w:rsidR="002F2A87" w:rsidRDefault="002F2A87" w:rsidP="002F2A87">
            <w:pPr>
              <w:tabs>
                <w:tab w:val="left" w:pos="5670"/>
              </w:tabs>
              <w:rPr>
                <w:b/>
                <w:bCs/>
              </w:rPr>
            </w:pPr>
            <w:r w:rsidRPr="0070514C">
              <w:rPr>
                <w:b/>
                <w:bCs/>
              </w:rPr>
              <w:t>Main targets</w:t>
            </w:r>
            <w:r>
              <w:rPr>
                <w:b/>
                <w:bCs/>
              </w:rPr>
              <w:t xml:space="preserve"> (based on </w:t>
            </w:r>
            <w:r w:rsidR="007E6011">
              <w:rPr>
                <w:b/>
                <w:bCs/>
              </w:rPr>
              <w:t>expected impact</w:t>
            </w:r>
            <w:r w:rsidR="00805CC7">
              <w:rPr>
                <w:b/>
                <w:bCs/>
              </w:rPr>
              <w:t xml:space="preserve">, </w:t>
            </w:r>
            <w:r>
              <w:rPr>
                <w:b/>
                <w:bCs/>
              </w:rPr>
              <w:t xml:space="preserve">resources &amp; access): Germany (in Ramallah, Tel Aviv, Berlin), Norway, as the Chair of the AHLC (in Jerusalem, Tel Aviv, Oslo), the Quartet (in Jerusalem), PA </w:t>
            </w:r>
            <w:proofErr w:type="spellStart"/>
            <w:r>
              <w:rPr>
                <w:b/>
                <w:bCs/>
              </w:rPr>
              <w:t>OoP</w:t>
            </w:r>
            <w:proofErr w:type="spellEnd"/>
            <w:r>
              <w:rPr>
                <w:b/>
                <w:bCs/>
              </w:rPr>
              <w:t xml:space="preserve"> &amp; PMO, PA MOPAD</w:t>
            </w:r>
          </w:p>
          <w:p w14:paraId="2FD50C8E" w14:textId="77777777" w:rsidR="00805CC7" w:rsidRDefault="00805CC7" w:rsidP="002F2A87">
            <w:pPr>
              <w:tabs>
                <w:tab w:val="left" w:pos="5670"/>
              </w:tabs>
              <w:rPr>
                <w:b/>
                <w:bCs/>
              </w:rPr>
            </w:pPr>
          </w:p>
          <w:p w14:paraId="1B4F7868" w14:textId="77777777" w:rsidR="00805CC7" w:rsidRDefault="00805CC7" w:rsidP="002F2A87">
            <w:pPr>
              <w:tabs>
                <w:tab w:val="left" w:pos="5670"/>
              </w:tabs>
              <w:rPr>
                <w:b/>
                <w:bCs/>
              </w:rPr>
            </w:pPr>
            <w:r>
              <w:rPr>
                <w:b/>
                <w:bCs/>
              </w:rPr>
              <w:t>Overall stakeholder analysis:</w:t>
            </w:r>
          </w:p>
          <w:p w14:paraId="52CAF8EF" w14:textId="77777777" w:rsidR="002F2A87" w:rsidRDefault="002F2A87" w:rsidP="002F2A87">
            <w:pPr>
              <w:tabs>
                <w:tab w:val="left" w:pos="5670"/>
              </w:tabs>
              <w:rPr>
                <w:b/>
                <w:bCs/>
              </w:rPr>
            </w:pPr>
          </w:p>
          <w:p w14:paraId="4FBCC9C8" w14:textId="77777777" w:rsidR="002F2A87" w:rsidRDefault="002F2A87" w:rsidP="002F2A87">
            <w:pPr>
              <w:tabs>
                <w:tab w:val="left" w:pos="5670"/>
              </w:tabs>
              <w:rPr>
                <w:b/>
                <w:bCs/>
              </w:rPr>
            </w:pPr>
            <w:r>
              <w:rPr>
                <w:b/>
                <w:bCs/>
              </w:rPr>
              <w:t>Blockers: Germany, the United States, the Quartet</w:t>
            </w:r>
          </w:p>
          <w:p w14:paraId="1895D925" w14:textId="77777777" w:rsidR="002F2A87" w:rsidRDefault="002F2A87" w:rsidP="002F2A87">
            <w:pPr>
              <w:tabs>
                <w:tab w:val="left" w:pos="5670"/>
              </w:tabs>
              <w:rPr>
                <w:b/>
                <w:bCs/>
              </w:rPr>
            </w:pPr>
          </w:p>
          <w:p w14:paraId="47B831F7" w14:textId="77777777" w:rsidR="002F2A87" w:rsidRDefault="002F2A87" w:rsidP="002F2A87">
            <w:pPr>
              <w:tabs>
                <w:tab w:val="left" w:pos="5670"/>
              </w:tabs>
              <w:rPr>
                <w:b/>
                <w:bCs/>
              </w:rPr>
            </w:pPr>
            <w:r>
              <w:rPr>
                <w:b/>
                <w:bCs/>
              </w:rPr>
              <w:t xml:space="preserve">Floaters: the UK, the Netherlands, Norway, Belgium, UNDP, PA MOPAD, PA </w:t>
            </w:r>
            <w:proofErr w:type="spellStart"/>
            <w:r>
              <w:rPr>
                <w:b/>
                <w:bCs/>
              </w:rPr>
              <w:t>OoP</w:t>
            </w:r>
            <w:proofErr w:type="spellEnd"/>
            <w:r>
              <w:rPr>
                <w:b/>
                <w:bCs/>
              </w:rPr>
              <w:t>, PA PMO</w:t>
            </w:r>
          </w:p>
          <w:p w14:paraId="00619C30" w14:textId="77777777" w:rsidR="002F2A87" w:rsidRDefault="002F2A87" w:rsidP="002F2A87">
            <w:pPr>
              <w:tabs>
                <w:tab w:val="left" w:pos="5670"/>
              </w:tabs>
              <w:rPr>
                <w:b/>
                <w:bCs/>
              </w:rPr>
            </w:pPr>
          </w:p>
          <w:p w14:paraId="3BB18D8B" w14:textId="77777777" w:rsidR="002F2A87" w:rsidRPr="001A4925" w:rsidRDefault="002F2A87" w:rsidP="002F2A87">
            <w:pPr>
              <w:tabs>
                <w:tab w:val="left" w:pos="5670"/>
              </w:tabs>
              <w:rPr>
                <w:b/>
                <w:bCs/>
                <w:lang w:val="fr-FR"/>
              </w:rPr>
            </w:pPr>
            <w:proofErr w:type="gramStart"/>
            <w:r w:rsidRPr="001A4925">
              <w:rPr>
                <w:b/>
                <w:bCs/>
                <w:lang w:val="fr-FR"/>
              </w:rPr>
              <w:t>Allies:</w:t>
            </w:r>
            <w:proofErr w:type="gramEnd"/>
            <w:r w:rsidRPr="001A4925">
              <w:rPr>
                <w:b/>
                <w:bCs/>
                <w:lang w:val="fr-FR"/>
              </w:rPr>
              <w:t xml:space="preserve"> France, </w:t>
            </w:r>
            <w:proofErr w:type="spellStart"/>
            <w:r w:rsidRPr="001A4925">
              <w:rPr>
                <w:b/>
                <w:bCs/>
                <w:lang w:val="fr-FR"/>
              </w:rPr>
              <w:t>Sweden</w:t>
            </w:r>
            <w:proofErr w:type="spellEnd"/>
            <w:r w:rsidRPr="001A4925">
              <w:rPr>
                <w:b/>
                <w:bCs/>
                <w:lang w:val="fr-FR"/>
              </w:rPr>
              <w:t xml:space="preserve">, NSU, PA </w:t>
            </w:r>
            <w:proofErr w:type="spellStart"/>
            <w:r w:rsidRPr="001A4925">
              <w:rPr>
                <w:b/>
                <w:bCs/>
                <w:lang w:val="fr-FR"/>
              </w:rPr>
              <w:t>MoFA</w:t>
            </w:r>
            <w:proofErr w:type="spellEnd"/>
            <w:r w:rsidRPr="001A4925">
              <w:rPr>
                <w:b/>
                <w:bCs/>
                <w:lang w:val="fr-FR"/>
              </w:rPr>
              <w:t xml:space="preserve">, PA </w:t>
            </w:r>
            <w:proofErr w:type="spellStart"/>
            <w:r w:rsidRPr="001A4925">
              <w:rPr>
                <w:b/>
                <w:bCs/>
                <w:lang w:val="fr-FR"/>
              </w:rPr>
              <w:t>MoLG</w:t>
            </w:r>
            <w:proofErr w:type="spellEnd"/>
            <w:r w:rsidRPr="001A4925">
              <w:rPr>
                <w:b/>
                <w:bCs/>
                <w:lang w:val="fr-FR"/>
              </w:rPr>
              <w:t>, UNHABITAT</w:t>
            </w:r>
            <w:r w:rsidR="00B45B4A" w:rsidRPr="001A4925">
              <w:rPr>
                <w:b/>
                <w:bCs/>
                <w:lang w:val="fr-FR"/>
              </w:rPr>
              <w:t>, OCHA</w:t>
            </w:r>
            <w:r w:rsidR="00B77D94" w:rsidRPr="001A4925">
              <w:rPr>
                <w:b/>
                <w:bCs/>
                <w:lang w:val="fr-FR"/>
              </w:rPr>
              <w:t>, EU Rep Office</w:t>
            </w:r>
          </w:p>
          <w:p w14:paraId="258FD881" w14:textId="77777777" w:rsidR="00B45B4A" w:rsidRPr="001A4925" w:rsidRDefault="00B45B4A" w:rsidP="002F2A87">
            <w:pPr>
              <w:tabs>
                <w:tab w:val="left" w:pos="5670"/>
              </w:tabs>
              <w:rPr>
                <w:b/>
                <w:bCs/>
                <w:lang w:val="fr-FR"/>
              </w:rPr>
            </w:pPr>
          </w:p>
          <w:p w14:paraId="1A7187E9" w14:textId="77777777" w:rsidR="00B45B4A" w:rsidRDefault="00B45B4A" w:rsidP="002F2A87">
            <w:pPr>
              <w:tabs>
                <w:tab w:val="left" w:pos="5670"/>
              </w:tabs>
              <w:rPr>
                <w:b/>
                <w:bCs/>
              </w:rPr>
            </w:pPr>
            <w:r>
              <w:t xml:space="preserve">Strategic Partners: </w:t>
            </w:r>
            <w:proofErr w:type="spellStart"/>
            <w:r>
              <w:t>Badil</w:t>
            </w:r>
            <w:proofErr w:type="spellEnd"/>
            <w:r>
              <w:t xml:space="preserve">, Al </w:t>
            </w:r>
            <w:proofErr w:type="spellStart"/>
            <w:r>
              <w:t>Haq</w:t>
            </w:r>
            <w:proofErr w:type="spellEnd"/>
            <w:r>
              <w:t xml:space="preserve">, </w:t>
            </w:r>
            <w:proofErr w:type="spellStart"/>
            <w:r>
              <w:t>Maan</w:t>
            </w:r>
            <w:proofErr w:type="spellEnd"/>
            <w:r>
              <w:t xml:space="preserve"> Development Center, St. Ives, PNGO</w:t>
            </w:r>
            <w:r w:rsidR="00EE1DAF">
              <w:t>, OCHA, CSAWGD</w:t>
            </w:r>
          </w:p>
          <w:p w14:paraId="1077AE38" w14:textId="77777777" w:rsidR="00092609" w:rsidRPr="00BB6FA2" w:rsidRDefault="00092609" w:rsidP="0070514C">
            <w:pPr>
              <w:tabs>
                <w:tab w:val="left" w:pos="5670"/>
              </w:tabs>
            </w:pPr>
          </w:p>
        </w:tc>
      </w:tr>
      <w:tr w:rsidR="00DD0EC8" w14:paraId="5D760EFE" w14:textId="77777777" w:rsidTr="00B63CD1">
        <w:trPr>
          <w:trHeight w:val="692"/>
        </w:trPr>
        <w:tc>
          <w:tcPr>
            <w:tcW w:w="13479" w:type="dxa"/>
            <w:gridSpan w:val="7"/>
          </w:tcPr>
          <w:p w14:paraId="2F7959C8" w14:textId="77777777" w:rsidR="00DD0EC8" w:rsidRDefault="00DD0EC8" w:rsidP="0070514C">
            <w:pPr>
              <w:tabs>
                <w:tab w:val="left" w:pos="5670"/>
              </w:tabs>
            </w:pPr>
          </w:p>
        </w:tc>
      </w:tr>
      <w:tr w:rsidR="00530D18" w14:paraId="09921058" w14:textId="77777777" w:rsidTr="00B63CD1">
        <w:trPr>
          <w:trHeight w:val="448"/>
        </w:trPr>
        <w:tc>
          <w:tcPr>
            <w:tcW w:w="13479" w:type="dxa"/>
            <w:gridSpan w:val="7"/>
          </w:tcPr>
          <w:p w14:paraId="152A0F1A" w14:textId="77777777" w:rsidR="00530D18" w:rsidRPr="00A90D64" w:rsidRDefault="00F40AD3" w:rsidP="00BE0787">
            <w:pPr>
              <w:rPr>
                <w:b/>
                <w:bCs/>
                <w:sz w:val="28"/>
                <w:szCs w:val="28"/>
              </w:rPr>
            </w:pPr>
            <w:r>
              <w:rPr>
                <w:b/>
                <w:bCs/>
                <w:sz w:val="28"/>
                <w:szCs w:val="28"/>
              </w:rPr>
              <w:t xml:space="preserve">Proposed </w:t>
            </w:r>
            <w:r w:rsidR="00530D18" w:rsidRPr="00A90D64">
              <w:rPr>
                <w:b/>
                <w:bCs/>
                <w:sz w:val="28"/>
                <w:szCs w:val="28"/>
              </w:rPr>
              <w:t>Action</w:t>
            </w:r>
            <w:r>
              <w:rPr>
                <w:b/>
                <w:bCs/>
                <w:sz w:val="28"/>
                <w:szCs w:val="28"/>
              </w:rPr>
              <w:t>s 2014</w:t>
            </w:r>
            <w:r w:rsidR="006B2FEE">
              <w:rPr>
                <w:b/>
                <w:bCs/>
                <w:sz w:val="28"/>
                <w:szCs w:val="28"/>
              </w:rPr>
              <w:t xml:space="preserve"> (</w:t>
            </w:r>
            <w:r w:rsidR="0022553F">
              <w:rPr>
                <w:b/>
                <w:bCs/>
                <w:sz w:val="28"/>
                <w:szCs w:val="28"/>
              </w:rPr>
              <w:t>To be further developed with input from AWG</w:t>
            </w:r>
            <w:r w:rsidR="006B2FEE">
              <w:rPr>
                <w:b/>
                <w:bCs/>
                <w:sz w:val="28"/>
                <w:szCs w:val="28"/>
              </w:rPr>
              <w:t>)</w:t>
            </w:r>
          </w:p>
        </w:tc>
      </w:tr>
      <w:tr w:rsidR="005202DA" w14:paraId="3BD0B5FF" w14:textId="77777777" w:rsidTr="007E6011">
        <w:trPr>
          <w:trHeight w:val="399"/>
        </w:trPr>
        <w:tc>
          <w:tcPr>
            <w:tcW w:w="1851" w:type="dxa"/>
          </w:tcPr>
          <w:p w14:paraId="4389C6C7" w14:textId="77777777" w:rsidR="00EF615C" w:rsidRPr="001F6812" w:rsidRDefault="00EF615C" w:rsidP="00BE0787">
            <w:pPr>
              <w:rPr>
                <w:i/>
                <w:iCs/>
                <w:sz w:val="28"/>
                <w:szCs w:val="28"/>
              </w:rPr>
            </w:pPr>
            <w:r w:rsidRPr="001F6812">
              <w:rPr>
                <w:i/>
                <w:iCs/>
                <w:sz w:val="28"/>
                <w:szCs w:val="28"/>
              </w:rPr>
              <w:t>Activity</w:t>
            </w:r>
          </w:p>
        </w:tc>
        <w:tc>
          <w:tcPr>
            <w:tcW w:w="1662" w:type="dxa"/>
          </w:tcPr>
          <w:p w14:paraId="179B8CB9" w14:textId="77777777" w:rsidR="00EF615C" w:rsidRPr="001F6812" w:rsidRDefault="00EF615C" w:rsidP="00BE0787">
            <w:pPr>
              <w:rPr>
                <w:i/>
                <w:iCs/>
                <w:sz w:val="28"/>
                <w:szCs w:val="28"/>
              </w:rPr>
            </w:pPr>
            <w:r>
              <w:rPr>
                <w:i/>
                <w:iCs/>
                <w:sz w:val="28"/>
                <w:szCs w:val="28"/>
              </w:rPr>
              <w:t>Relevant objective(s)</w:t>
            </w:r>
          </w:p>
        </w:tc>
        <w:tc>
          <w:tcPr>
            <w:tcW w:w="2717" w:type="dxa"/>
          </w:tcPr>
          <w:p w14:paraId="4572532C" w14:textId="77777777" w:rsidR="00EF615C" w:rsidRPr="001F6812" w:rsidRDefault="00EF615C" w:rsidP="00BE0787">
            <w:pPr>
              <w:rPr>
                <w:i/>
                <w:iCs/>
                <w:sz w:val="28"/>
                <w:szCs w:val="28"/>
              </w:rPr>
            </w:pPr>
            <w:r w:rsidRPr="001F6812">
              <w:rPr>
                <w:i/>
                <w:iCs/>
                <w:sz w:val="28"/>
                <w:szCs w:val="28"/>
              </w:rPr>
              <w:t>Purpose</w:t>
            </w:r>
          </w:p>
        </w:tc>
        <w:tc>
          <w:tcPr>
            <w:tcW w:w="3378" w:type="dxa"/>
          </w:tcPr>
          <w:p w14:paraId="4DEDA124" w14:textId="77777777" w:rsidR="00EF615C" w:rsidRPr="001F6812" w:rsidRDefault="00EF615C" w:rsidP="00BE0787">
            <w:pPr>
              <w:rPr>
                <w:i/>
                <w:iCs/>
                <w:sz w:val="28"/>
                <w:szCs w:val="28"/>
              </w:rPr>
            </w:pPr>
            <w:r w:rsidRPr="001F6812">
              <w:rPr>
                <w:i/>
                <w:iCs/>
                <w:sz w:val="28"/>
                <w:szCs w:val="28"/>
              </w:rPr>
              <w:t>Target(s)</w:t>
            </w:r>
          </w:p>
        </w:tc>
        <w:tc>
          <w:tcPr>
            <w:tcW w:w="1749" w:type="dxa"/>
          </w:tcPr>
          <w:p w14:paraId="304BB9F8" w14:textId="77777777" w:rsidR="00EF615C" w:rsidRPr="001F6812" w:rsidRDefault="00EF615C" w:rsidP="00BE0787">
            <w:pPr>
              <w:rPr>
                <w:i/>
                <w:iCs/>
                <w:sz w:val="28"/>
                <w:szCs w:val="28"/>
              </w:rPr>
            </w:pPr>
            <w:r w:rsidRPr="001F6812">
              <w:rPr>
                <w:i/>
                <w:iCs/>
                <w:sz w:val="28"/>
                <w:szCs w:val="28"/>
              </w:rPr>
              <w:t>Timeline</w:t>
            </w:r>
          </w:p>
        </w:tc>
        <w:tc>
          <w:tcPr>
            <w:tcW w:w="950" w:type="dxa"/>
          </w:tcPr>
          <w:p w14:paraId="642A3B67" w14:textId="77777777" w:rsidR="00EF615C" w:rsidRPr="001F6812" w:rsidRDefault="00EF615C" w:rsidP="00BE0787">
            <w:pPr>
              <w:rPr>
                <w:i/>
                <w:iCs/>
                <w:sz w:val="28"/>
                <w:szCs w:val="28"/>
              </w:rPr>
            </w:pPr>
            <w:r w:rsidRPr="001F6812">
              <w:rPr>
                <w:i/>
                <w:iCs/>
                <w:sz w:val="28"/>
                <w:szCs w:val="28"/>
              </w:rPr>
              <w:t>FP</w:t>
            </w:r>
          </w:p>
          <w:p w14:paraId="4335D63A" w14:textId="77777777" w:rsidR="00EF615C" w:rsidRDefault="00EF615C" w:rsidP="00BA06F0"/>
          <w:p w14:paraId="036859EC" w14:textId="77777777" w:rsidR="00EF615C" w:rsidRDefault="00EF615C" w:rsidP="00BA06F0"/>
        </w:tc>
        <w:tc>
          <w:tcPr>
            <w:tcW w:w="1172" w:type="dxa"/>
          </w:tcPr>
          <w:p w14:paraId="554E66F5" w14:textId="77777777" w:rsidR="00EF615C" w:rsidRPr="001F6812" w:rsidRDefault="00EF615C" w:rsidP="00BA06F0">
            <w:pPr>
              <w:rPr>
                <w:i/>
                <w:iCs/>
                <w:sz w:val="28"/>
                <w:szCs w:val="28"/>
              </w:rPr>
            </w:pPr>
            <w:r>
              <w:t>Resources</w:t>
            </w:r>
          </w:p>
        </w:tc>
      </w:tr>
      <w:tr w:rsidR="005202DA" w14:paraId="49C4B3B0" w14:textId="77777777" w:rsidTr="007E6011">
        <w:trPr>
          <w:trHeight w:val="719"/>
        </w:trPr>
        <w:tc>
          <w:tcPr>
            <w:tcW w:w="1851" w:type="dxa"/>
          </w:tcPr>
          <w:p w14:paraId="50E2CE2E" w14:textId="77777777" w:rsidR="00EF615C" w:rsidRPr="00C7009D" w:rsidRDefault="00EF615C" w:rsidP="006B2FEE">
            <w:r>
              <w:t>1. P</w:t>
            </w:r>
            <w:r w:rsidR="00216FC3">
              <w:t xml:space="preserve">olicy brief </w:t>
            </w:r>
            <w:r w:rsidR="00715918">
              <w:t xml:space="preserve">(white paper) </w:t>
            </w:r>
            <w:r>
              <w:t xml:space="preserve">that outlines </w:t>
            </w:r>
            <w:r w:rsidR="00715918">
              <w:t xml:space="preserve">the carrots and sticks the EU and member states can use to halt demolition and forced displacement and </w:t>
            </w:r>
            <w:r w:rsidR="00D206E1">
              <w:t>the costs/stakes of inaction; make political and operational recommendations for how EU and member states can</w:t>
            </w:r>
            <w:r>
              <w:t xml:space="preserve"> implement their own action plan for Area C and their recommendations from the </w:t>
            </w:r>
            <w:proofErr w:type="spellStart"/>
            <w:r>
              <w:t>HoM</w:t>
            </w:r>
            <w:proofErr w:type="spellEnd"/>
            <w:r>
              <w:t xml:space="preserve"> report on East Jerusalem </w:t>
            </w:r>
          </w:p>
        </w:tc>
        <w:tc>
          <w:tcPr>
            <w:tcW w:w="1662" w:type="dxa"/>
          </w:tcPr>
          <w:p w14:paraId="280C8CAF" w14:textId="77777777" w:rsidR="00EF615C" w:rsidRPr="00C7009D" w:rsidRDefault="00216FC3" w:rsidP="006B2FEE">
            <w:r>
              <w:t xml:space="preserve">Sub objective 1, mid-term, strategic </w:t>
            </w:r>
          </w:p>
        </w:tc>
        <w:tc>
          <w:tcPr>
            <w:tcW w:w="2717" w:type="dxa"/>
          </w:tcPr>
          <w:p w14:paraId="047DE47A" w14:textId="77777777" w:rsidR="00EF615C" w:rsidRPr="00C7009D" w:rsidRDefault="00D206E1" w:rsidP="00DA30A9">
            <w:r>
              <w:t xml:space="preserve">Highlight worsening situation and impact on communities; </w:t>
            </w:r>
            <w:r w:rsidR="00EF615C">
              <w:t xml:space="preserve">Make operational recommendations and reinforce </w:t>
            </w:r>
            <w:r>
              <w:t xml:space="preserve">support for what </w:t>
            </w:r>
            <w:r w:rsidR="00EF615C">
              <w:t>the EU and member state</w:t>
            </w:r>
            <w:r>
              <w:t>s can do</w:t>
            </w:r>
            <w:r w:rsidR="00EF615C">
              <w:t xml:space="preserve"> to promote presence and development in Area C</w:t>
            </w:r>
          </w:p>
        </w:tc>
        <w:tc>
          <w:tcPr>
            <w:tcW w:w="3378" w:type="dxa"/>
          </w:tcPr>
          <w:p w14:paraId="6CB2DA0F" w14:textId="77777777" w:rsidR="00EF615C" w:rsidRPr="00C7009D" w:rsidRDefault="00EF615C" w:rsidP="00DA30A9">
            <w:r>
              <w:t>EU/Member States/Diplomatic community</w:t>
            </w:r>
          </w:p>
        </w:tc>
        <w:tc>
          <w:tcPr>
            <w:tcW w:w="1749" w:type="dxa"/>
          </w:tcPr>
          <w:p w14:paraId="24646511" w14:textId="77777777" w:rsidR="00EF615C" w:rsidRPr="00C7009D" w:rsidRDefault="00D206E1" w:rsidP="00F40AD3">
            <w:r>
              <w:t>May-June</w:t>
            </w:r>
          </w:p>
        </w:tc>
        <w:tc>
          <w:tcPr>
            <w:tcW w:w="950" w:type="dxa"/>
          </w:tcPr>
          <w:p w14:paraId="3A85FB24" w14:textId="77777777" w:rsidR="00EF615C" w:rsidRPr="00C7009D" w:rsidRDefault="00EF615C" w:rsidP="00BA06F0"/>
        </w:tc>
        <w:tc>
          <w:tcPr>
            <w:tcW w:w="1172" w:type="dxa"/>
          </w:tcPr>
          <w:p w14:paraId="4100763C" w14:textId="77777777" w:rsidR="00EF615C" w:rsidRPr="00C7009D" w:rsidRDefault="002B6B66" w:rsidP="00BA06F0">
            <w:r>
              <w:t>AIDA can cover translation costs for German, French, Italian, Dutch from SDC budget. Needs capital level lobby support from AIDA members.</w:t>
            </w:r>
          </w:p>
        </w:tc>
      </w:tr>
      <w:tr w:rsidR="005202DA" w14:paraId="45CC3022" w14:textId="77777777" w:rsidTr="007E6011">
        <w:trPr>
          <w:trHeight w:val="844"/>
        </w:trPr>
        <w:tc>
          <w:tcPr>
            <w:tcW w:w="1851" w:type="dxa"/>
          </w:tcPr>
          <w:p w14:paraId="1A2E4340" w14:textId="77777777" w:rsidR="00EF615C" w:rsidRPr="00C7009D" w:rsidRDefault="00216FC3" w:rsidP="00D206E1">
            <w:r>
              <w:t xml:space="preserve">2. Policy brief </w:t>
            </w:r>
            <w:r w:rsidR="00D206E1">
              <w:t xml:space="preserve">(white paper) responding to PA publication of </w:t>
            </w:r>
            <w:r w:rsidR="00D206E1">
              <w:lastRenderedPageBreak/>
              <w:t>National Framework for Area C</w:t>
            </w:r>
            <w:r w:rsidR="00EF615C">
              <w:t xml:space="preserve"> </w:t>
            </w:r>
          </w:p>
        </w:tc>
        <w:tc>
          <w:tcPr>
            <w:tcW w:w="1662" w:type="dxa"/>
          </w:tcPr>
          <w:p w14:paraId="7BD6BFB2" w14:textId="77777777" w:rsidR="00EF615C" w:rsidRPr="00C7009D" w:rsidRDefault="00D206E1" w:rsidP="00B5558E">
            <w:r>
              <w:lastRenderedPageBreak/>
              <w:t>Sub-objective 2, mid-term, strategic</w:t>
            </w:r>
          </w:p>
        </w:tc>
        <w:tc>
          <w:tcPr>
            <w:tcW w:w="2717" w:type="dxa"/>
          </w:tcPr>
          <w:p w14:paraId="7884FA82" w14:textId="77777777" w:rsidR="00EF615C" w:rsidRPr="00C7009D" w:rsidRDefault="00EF615C" w:rsidP="00BA06F0">
            <w:r>
              <w:t xml:space="preserve">Make operational recommendations for what PA and line ministries can </w:t>
            </w:r>
            <w:r>
              <w:lastRenderedPageBreak/>
              <w:t xml:space="preserve">do to </w:t>
            </w:r>
            <w:r w:rsidR="00D206E1">
              <w:t xml:space="preserve">implement the National Framework and </w:t>
            </w:r>
            <w:r>
              <w:t>promote presence and development in Area C</w:t>
            </w:r>
          </w:p>
        </w:tc>
        <w:tc>
          <w:tcPr>
            <w:tcW w:w="3378" w:type="dxa"/>
          </w:tcPr>
          <w:p w14:paraId="208B4E55" w14:textId="77777777" w:rsidR="00EF615C" w:rsidRPr="00C7009D" w:rsidRDefault="00EF615C" w:rsidP="00BA06F0">
            <w:r>
              <w:lastRenderedPageBreak/>
              <w:t>PA/PLO/MOPAD/</w:t>
            </w:r>
            <w:proofErr w:type="spellStart"/>
            <w:r w:rsidR="00E23B57">
              <w:t>OoP</w:t>
            </w:r>
            <w:proofErr w:type="spellEnd"/>
            <w:r w:rsidR="00D206E1">
              <w:t>/</w:t>
            </w:r>
            <w:proofErr w:type="spellStart"/>
            <w:r w:rsidR="00D206E1">
              <w:t>MoFA</w:t>
            </w:r>
            <w:proofErr w:type="spellEnd"/>
            <w:r w:rsidR="00D206E1">
              <w:t>/</w:t>
            </w:r>
            <w:r>
              <w:t xml:space="preserve">Prime </w:t>
            </w:r>
            <w:proofErr w:type="spellStart"/>
            <w:r>
              <w:t>Ministers</w:t>
            </w:r>
            <w:proofErr w:type="spellEnd"/>
            <w:r>
              <w:t xml:space="preserve"> Office</w:t>
            </w:r>
          </w:p>
        </w:tc>
        <w:tc>
          <w:tcPr>
            <w:tcW w:w="1749" w:type="dxa"/>
          </w:tcPr>
          <w:p w14:paraId="1B48C529" w14:textId="77777777" w:rsidR="00EF615C" w:rsidRPr="00C7009D" w:rsidRDefault="00D206E1" w:rsidP="00DA30A9">
            <w:r>
              <w:t>August (ahead of the AHLC)</w:t>
            </w:r>
          </w:p>
        </w:tc>
        <w:tc>
          <w:tcPr>
            <w:tcW w:w="950" w:type="dxa"/>
          </w:tcPr>
          <w:p w14:paraId="51C064CD" w14:textId="77777777" w:rsidR="00EF615C" w:rsidRPr="00C7009D" w:rsidRDefault="005202DA" w:rsidP="00BA06F0">
            <w:r>
              <w:t>AIDA</w:t>
            </w:r>
            <w:r w:rsidR="002B6B66">
              <w:t xml:space="preserve"> with Save the Children</w:t>
            </w:r>
          </w:p>
        </w:tc>
        <w:tc>
          <w:tcPr>
            <w:tcW w:w="1172" w:type="dxa"/>
          </w:tcPr>
          <w:p w14:paraId="5CE7DB12" w14:textId="77777777" w:rsidR="00EF615C" w:rsidRPr="00C7009D" w:rsidRDefault="005202DA" w:rsidP="00BA06F0">
            <w:r>
              <w:t>AIDA</w:t>
            </w:r>
            <w:r w:rsidR="002B6B66">
              <w:t xml:space="preserve"> (to cover costs for Arabic translation, any design or printing), needs support of </w:t>
            </w:r>
            <w:r w:rsidR="002B6B66">
              <w:lastRenderedPageBreak/>
              <w:t>members in country for follow up-meetings, briefings</w:t>
            </w:r>
          </w:p>
        </w:tc>
      </w:tr>
      <w:tr w:rsidR="005202DA" w14:paraId="316331BE" w14:textId="77777777" w:rsidTr="007E6011">
        <w:trPr>
          <w:trHeight w:val="844"/>
        </w:trPr>
        <w:tc>
          <w:tcPr>
            <w:tcW w:w="1851" w:type="dxa"/>
          </w:tcPr>
          <w:p w14:paraId="455F6616" w14:textId="77777777" w:rsidR="00EF615C" w:rsidRDefault="00EF615C" w:rsidP="008E2A57">
            <w:r>
              <w:lastRenderedPageBreak/>
              <w:t>3. Complex info graphic and Twitter campaign or Thunderclap for the 10</w:t>
            </w:r>
            <w:r w:rsidRPr="00EE7DFC">
              <w:rPr>
                <w:vertAlign w:val="superscript"/>
              </w:rPr>
              <w:t>th</w:t>
            </w:r>
            <w:r>
              <w:t xml:space="preserve"> anniversary of the ICJ ruling on the Wall</w:t>
            </w:r>
            <w:r w:rsidR="008E2A57">
              <w:t>, public stunt in NY or other capitals</w:t>
            </w:r>
          </w:p>
        </w:tc>
        <w:tc>
          <w:tcPr>
            <w:tcW w:w="1662" w:type="dxa"/>
          </w:tcPr>
          <w:p w14:paraId="77DC3CBF" w14:textId="77777777" w:rsidR="00EF615C" w:rsidRDefault="00216FC3" w:rsidP="00EE7DFC">
            <w:proofErr w:type="spellStart"/>
            <w:r>
              <w:t>Mid term</w:t>
            </w:r>
            <w:proofErr w:type="spellEnd"/>
            <w:r>
              <w:t>, strategic</w:t>
            </w:r>
          </w:p>
        </w:tc>
        <w:tc>
          <w:tcPr>
            <w:tcW w:w="2717" w:type="dxa"/>
          </w:tcPr>
          <w:p w14:paraId="571354A9" w14:textId="77777777" w:rsidR="00EF615C" w:rsidRDefault="00EF615C" w:rsidP="00BA06F0">
            <w:r>
              <w:t>Raise public awareness to the implications of the permit and planning regime on Palestinian presence and development</w:t>
            </w:r>
            <w:r w:rsidR="00715918">
              <w:t>; raise public awareness to the impact of the Wall on Palestinian rights and development; increase pressure on decision makers to hold Israel accountable for ongoing violations</w:t>
            </w:r>
          </w:p>
        </w:tc>
        <w:tc>
          <w:tcPr>
            <w:tcW w:w="3378" w:type="dxa"/>
          </w:tcPr>
          <w:p w14:paraId="1BA3B92E" w14:textId="77777777" w:rsidR="00EF615C" w:rsidRDefault="00EF615C" w:rsidP="00BA06F0">
            <w:r>
              <w:t>General public</w:t>
            </w:r>
            <w:r w:rsidR="00715918">
              <w:t>; private lobby in Germany, France, UK, and at the UN</w:t>
            </w:r>
          </w:p>
        </w:tc>
        <w:tc>
          <w:tcPr>
            <w:tcW w:w="1749" w:type="dxa"/>
          </w:tcPr>
          <w:p w14:paraId="7303CEC2" w14:textId="77777777" w:rsidR="00EF615C" w:rsidRDefault="00EF615C" w:rsidP="00DA30A9">
            <w:r>
              <w:t>June</w:t>
            </w:r>
            <w:r w:rsidR="00D206E1">
              <w:t>-July</w:t>
            </w:r>
          </w:p>
        </w:tc>
        <w:tc>
          <w:tcPr>
            <w:tcW w:w="950" w:type="dxa"/>
          </w:tcPr>
          <w:p w14:paraId="741FD964" w14:textId="77777777" w:rsidR="00EF615C" w:rsidRDefault="00EF615C" w:rsidP="00BA06F0"/>
        </w:tc>
        <w:tc>
          <w:tcPr>
            <w:tcW w:w="1172" w:type="dxa"/>
          </w:tcPr>
          <w:p w14:paraId="04E3C758" w14:textId="77777777" w:rsidR="00EF615C" w:rsidRDefault="002B6B66" w:rsidP="00BA06F0">
            <w:r>
              <w:t>Needs $5000- 8000 USD. May have funding from ECHO or agencies will need to contribute, needs capital level media and lobby support from AIDA members</w:t>
            </w:r>
          </w:p>
        </w:tc>
      </w:tr>
      <w:tr w:rsidR="005202DA" w14:paraId="5380F96D" w14:textId="77777777" w:rsidTr="007E6011">
        <w:trPr>
          <w:trHeight w:val="844"/>
        </w:trPr>
        <w:tc>
          <w:tcPr>
            <w:tcW w:w="1851" w:type="dxa"/>
          </w:tcPr>
          <w:p w14:paraId="45781765" w14:textId="77777777" w:rsidR="00EF615C" w:rsidRDefault="00382BBF" w:rsidP="00EE7DFC">
            <w:r>
              <w:t>4. L</w:t>
            </w:r>
            <w:r w:rsidR="00EF615C">
              <w:t>obby meetings with the PA and in Germany, Italy, Brussels, France, UK</w:t>
            </w:r>
          </w:p>
        </w:tc>
        <w:tc>
          <w:tcPr>
            <w:tcW w:w="1662" w:type="dxa"/>
          </w:tcPr>
          <w:p w14:paraId="2B266193" w14:textId="77777777" w:rsidR="00EF615C" w:rsidRDefault="00E23B57" w:rsidP="00EE7DFC">
            <w:r>
              <w:t>Sub-objectives 1 &amp;2</w:t>
            </w:r>
          </w:p>
        </w:tc>
        <w:tc>
          <w:tcPr>
            <w:tcW w:w="2717" w:type="dxa"/>
          </w:tcPr>
          <w:p w14:paraId="7A79FCBF" w14:textId="77777777" w:rsidR="00EF615C" w:rsidRDefault="00EF615C" w:rsidP="00E23B57">
            <w:r>
              <w:t xml:space="preserve">Influence decision makers and garner support for </w:t>
            </w:r>
            <w:r w:rsidR="00E23B57">
              <w:t>sub-objectives 1 &amp; 2</w:t>
            </w:r>
          </w:p>
        </w:tc>
        <w:tc>
          <w:tcPr>
            <w:tcW w:w="3378" w:type="dxa"/>
          </w:tcPr>
          <w:p w14:paraId="34E21C01" w14:textId="77777777" w:rsidR="00EF615C" w:rsidRDefault="00EF615C" w:rsidP="00BA06F0">
            <w:r>
              <w:t>PA</w:t>
            </w:r>
            <w:r w:rsidR="00E23B57">
              <w:t xml:space="preserve"> (</w:t>
            </w:r>
            <w:proofErr w:type="spellStart"/>
            <w:r w:rsidR="00E23B57">
              <w:t>MoPAD</w:t>
            </w:r>
            <w:proofErr w:type="spellEnd"/>
            <w:r w:rsidR="00E23B57">
              <w:t xml:space="preserve">, </w:t>
            </w:r>
            <w:proofErr w:type="spellStart"/>
            <w:r w:rsidR="00E23B57">
              <w:t>MoFa</w:t>
            </w:r>
            <w:proofErr w:type="spellEnd"/>
            <w:r w:rsidR="00E23B57">
              <w:t xml:space="preserve">, </w:t>
            </w:r>
            <w:proofErr w:type="spellStart"/>
            <w:r w:rsidR="00E23B57">
              <w:t>OoP</w:t>
            </w:r>
            <w:proofErr w:type="spellEnd"/>
            <w:r w:rsidR="00E23B57">
              <w:t>)</w:t>
            </w:r>
            <w:r>
              <w:t xml:space="preserve"> Germany, Italy, </w:t>
            </w:r>
            <w:r w:rsidR="00E23B57">
              <w:t xml:space="preserve">Netherlands, </w:t>
            </w:r>
            <w:r>
              <w:t xml:space="preserve">EEAS, </w:t>
            </w:r>
            <w:proofErr w:type="spellStart"/>
            <w:r>
              <w:t>MaMa</w:t>
            </w:r>
            <w:proofErr w:type="spellEnd"/>
            <w:r>
              <w:t>, France, UK</w:t>
            </w:r>
          </w:p>
        </w:tc>
        <w:tc>
          <w:tcPr>
            <w:tcW w:w="1749" w:type="dxa"/>
          </w:tcPr>
          <w:p w14:paraId="61592C80" w14:textId="77777777" w:rsidR="00EF615C" w:rsidRDefault="00382BBF" w:rsidP="00DA30A9">
            <w:r>
              <w:t>Quarterly</w:t>
            </w:r>
          </w:p>
        </w:tc>
        <w:tc>
          <w:tcPr>
            <w:tcW w:w="950" w:type="dxa"/>
          </w:tcPr>
          <w:p w14:paraId="350D180C" w14:textId="77777777" w:rsidR="00EF615C" w:rsidRDefault="00EF615C" w:rsidP="00BA06F0"/>
        </w:tc>
        <w:tc>
          <w:tcPr>
            <w:tcW w:w="1172" w:type="dxa"/>
          </w:tcPr>
          <w:p w14:paraId="52604D44" w14:textId="77777777" w:rsidR="00EF615C" w:rsidRDefault="002B6B66" w:rsidP="00BA06F0">
            <w:r>
              <w:t xml:space="preserve">Needs in-country and capital level lobby support from AIDA members </w:t>
            </w:r>
          </w:p>
        </w:tc>
      </w:tr>
      <w:tr w:rsidR="005202DA" w14:paraId="72CA61E5" w14:textId="77777777" w:rsidTr="007E6011">
        <w:trPr>
          <w:trHeight w:val="844"/>
        </w:trPr>
        <w:tc>
          <w:tcPr>
            <w:tcW w:w="1851" w:type="dxa"/>
          </w:tcPr>
          <w:p w14:paraId="15EDAEA1" w14:textId="77777777" w:rsidR="00EF615C" w:rsidRDefault="00EF615C" w:rsidP="00EE7DFC">
            <w:r>
              <w:t>5. Media and diplomatic briefing packs</w:t>
            </w:r>
          </w:p>
        </w:tc>
        <w:tc>
          <w:tcPr>
            <w:tcW w:w="1662" w:type="dxa"/>
          </w:tcPr>
          <w:p w14:paraId="5A511CC5" w14:textId="77777777" w:rsidR="00EF615C" w:rsidRDefault="00E23B57" w:rsidP="00EE7DFC">
            <w:r>
              <w:t>Sub-objective 1, mid-term, strategic</w:t>
            </w:r>
          </w:p>
        </w:tc>
        <w:tc>
          <w:tcPr>
            <w:tcW w:w="2717" w:type="dxa"/>
          </w:tcPr>
          <w:p w14:paraId="74C999F0" w14:textId="77777777" w:rsidR="00EF615C" w:rsidRDefault="00EF615C" w:rsidP="00BA06F0">
            <w:r>
              <w:t xml:space="preserve">Influence general publics and decision makers by giving concrete </w:t>
            </w:r>
            <w:r>
              <w:lastRenderedPageBreak/>
              <w:t>recommendations and examples</w:t>
            </w:r>
          </w:p>
        </w:tc>
        <w:tc>
          <w:tcPr>
            <w:tcW w:w="3378" w:type="dxa"/>
          </w:tcPr>
          <w:p w14:paraId="75238D5C" w14:textId="77777777" w:rsidR="00EF615C" w:rsidRDefault="00EF615C" w:rsidP="00BA06F0">
            <w:r>
              <w:lastRenderedPageBreak/>
              <w:t>Diplomats and journalists in country</w:t>
            </w:r>
          </w:p>
        </w:tc>
        <w:tc>
          <w:tcPr>
            <w:tcW w:w="1749" w:type="dxa"/>
          </w:tcPr>
          <w:p w14:paraId="6FF30851" w14:textId="77777777" w:rsidR="00EF615C" w:rsidRDefault="00E23B57" w:rsidP="00DA30A9">
            <w:r>
              <w:t>May</w:t>
            </w:r>
          </w:p>
        </w:tc>
        <w:tc>
          <w:tcPr>
            <w:tcW w:w="950" w:type="dxa"/>
          </w:tcPr>
          <w:p w14:paraId="5992FC0B" w14:textId="77777777" w:rsidR="00EF615C" w:rsidRDefault="005202DA" w:rsidP="00BA06F0">
            <w:r>
              <w:t>AIDA</w:t>
            </w:r>
          </w:p>
        </w:tc>
        <w:tc>
          <w:tcPr>
            <w:tcW w:w="1172" w:type="dxa"/>
          </w:tcPr>
          <w:p w14:paraId="76DC0C22" w14:textId="77777777" w:rsidR="00EF615C" w:rsidRDefault="005202DA" w:rsidP="00BA06F0">
            <w:r>
              <w:t>AIDA</w:t>
            </w:r>
            <w:r w:rsidR="002B6B66">
              <w:t xml:space="preserve"> can cover costs of printing from SDC budget</w:t>
            </w:r>
          </w:p>
        </w:tc>
      </w:tr>
      <w:tr w:rsidR="005202DA" w14:paraId="07EC7839" w14:textId="77777777" w:rsidTr="007E6011">
        <w:trPr>
          <w:trHeight w:val="844"/>
        </w:trPr>
        <w:tc>
          <w:tcPr>
            <w:tcW w:w="1851" w:type="dxa"/>
          </w:tcPr>
          <w:p w14:paraId="591A7D9C" w14:textId="77777777" w:rsidR="00EF615C" w:rsidRDefault="00EF615C" w:rsidP="00EE7DFC">
            <w:r>
              <w:t>6. Regular field visits for journalists and diplomats</w:t>
            </w:r>
          </w:p>
        </w:tc>
        <w:tc>
          <w:tcPr>
            <w:tcW w:w="1662" w:type="dxa"/>
          </w:tcPr>
          <w:p w14:paraId="6851A768" w14:textId="77777777" w:rsidR="00EF615C" w:rsidRDefault="004D502F" w:rsidP="00EE7DFC">
            <w:r>
              <w:t>Sub-objective 1, mid-term, strategic</w:t>
            </w:r>
          </w:p>
        </w:tc>
        <w:tc>
          <w:tcPr>
            <w:tcW w:w="2717" w:type="dxa"/>
          </w:tcPr>
          <w:p w14:paraId="1F90238A" w14:textId="77777777" w:rsidR="00EF615C" w:rsidRDefault="00EF615C" w:rsidP="00BA06F0">
            <w:r>
              <w:t>Influence general publics and decision makers by giving concrete recommendations and examples</w:t>
            </w:r>
          </w:p>
        </w:tc>
        <w:tc>
          <w:tcPr>
            <w:tcW w:w="3378" w:type="dxa"/>
          </w:tcPr>
          <w:p w14:paraId="77B0280A" w14:textId="77777777" w:rsidR="00EF615C" w:rsidRDefault="00EF615C" w:rsidP="00BA06F0">
            <w:r>
              <w:t>Diplomats and journalists in country</w:t>
            </w:r>
          </w:p>
        </w:tc>
        <w:tc>
          <w:tcPr>
            <w:tcW w:w="1749" w:type="dxa"/>
          </w:tcPr>
          <w:p w14:paraId="3BFD0FB4" w14:textId="77777777" w:rsidR="00EF615C" w:rsidRDefault="00382BBF" w:rsidP="00DA30A9">
            <w:r>
              <w:t>At least Quarterly</w:t>
            </w:r>
            <w:r w:rsidR="004D502F">
              <w:t>, with emphasis on tours for Germany, Italy, and the Netherlands</w:t>
            </w:r>
          </w:p>
        </w:tc>
        <w:tc>
          <w:tcPr>
            <w:tcW w:w="950" w:type="dxa"/>
          </w:tcPr>
          <w:p w14:paraId="765040D5" w14:textId="77777777" w:rsidR="00EF615C" w:rsidRDefault="005202DA" w:rsidP="00BA06F0">
            <w:r>
              <w:t xml:space="preserve">AIDA with medico international, Heinrich Boll, </w:t>
            </w:r>
            <w:proofErr w:type="spellStart"/>
            <w:r>
              <w:t>WarChild</w:t>
            </w:r>
            <w:proofErr w:type="spellEnd"/>
            <w:r>
              <w:t xml:space="preserve"> Holland, GVC, COOPI, Diakonia</w:t>
            </w:r>
          </w:p>
        </w:tc>
        <w:tc>
          <w:tcPr>
            <w:tcW w:w="1172" w:type="dxa"/>
          </w:tcPr>
          <w:p w14:paraId="7FD4206A" w14:textId="77777777" w:rsidR="00EF615C" w:rsidRDefault="005202DA" w:rsidP="00BA06F0">
            <w:r>
              <w:t>Transportation costs can be covered by AIDA SDC budget</w:t>
            </w:r>
            <w:r w:rsidR="002B6B66">
              <w:t>, needs in country programmatic/advocacy support from AIDA members</w:t>
            </w:r>
          </w:p>
        </w:tc>
      </w:tr>
      <w:tr w:rsidR="005202DA" w14:paraId="723B61A1" w14:textId="77777777" w:rsidTr="005202DA">
        <w:trPr>
          <w:trHeight w:val="890"/>
        </w:trPr>
        <w:tc>
          <w:tcPr>
            <w:tcW w:w="1851" w:type="dxa"/>
          </w:tcPr>
          <w:p w14:paraId="15CCE3F9" w14:textId="77777777" w:rsidR="00EF615C" w:rsidRDefault="00EF615C" w:rsidP="00EE7DFC">
            <w:r>
              <w:t>7. Reactive statements and lobby letters</w:t>
            </w:r>
          </w:p>
        </w:tc>
        <w:tc>
          <w:tcPr>
            <w:tcW w:w="1662" w:type="dxa"/>
          </w:tcPr>
          <w:p w14:paraId="705282F3" w14:textId="77777777" w:rsidR="00EF615C" w:rsidRDefault="004D502F" w:rsidP="00EE7DFC">
            <w:r>
              <w:t>Sub-objective 1, mid-term, strategic</w:t>
            </w:r>
          </w:p>
        </w:tc>
        <w:tc>
          <w:tcPr>
            <w:tcW w:w="2717" w:type="dxa"/>
          </w:tcPr>
          <w:p w14:paraId="287686A9" w14:textId="77777777" w:rsidR="00EF615C" w:rsidRDefault="00EF615C" w:rsidP="00BA06F0">
            <w:r>
              <w:t>React timely to incidents that impede our ability to achieve our objectives</w:t>
            </w:r>
          </w:p>
        </w:tc>
        <w:tc>
          <w:tcPr>
            <w:tcW w:w="3378" w:type="dxa"/>
          </w:tcPr>
          <w:p w14:paraId="6618C7E6" w14:textId="77777777" w:rsidR="00EF615C" w:rsidRDefault="00EF615C" w:rsidP="00BA06F0">
            <w:r>
              <w:t>PA, EU, Diplomatic Community, General public</w:t>
            </w:r>
          </w:p>
        </w:tc>
        <w:tc>
          <w:tcPr>
            <w:tcW w:w="1749" w:type="dxa"/>
          </w:tcPr>
          <w:p w14:paraId="5FB9BFD5" w14:textId="77777777" w:rsidR="00EF615C" w:rsidRDefault="005202DA" w:rsidP="00DA30A9">
            <w:r>
              <w:t>As needed</w:t>
            </w:r>
          </w:p>
        </w:tc>
        <w:tc>
          <w:tcPr>
            <w:tcW w:w="950" w:type="dxa"/>
          </w:tcPr>
          <w:p w14:paraId="74014330" w14:textId="77777777" w:rsidR="00EF615C" w:rsidRDefault="005202DA" w:rsidP="00BA06F0">
            <w:r>
              <w:t>AIDA</w:t>
            </w:r>
          </w:p>
        </w:tc>
        <w:tc>
          <w:tcPr>
            <w:tcW w:w="1172" w:type="dxa"/>
          </w:tcPr>
          <w:p w14:paraId="6F7B8F75" w14:textId="77777777" w:rsidR="00EF615C" w:rsidRDefault="005202DA" w:rsidP="00BA06F0">
            <w:r>
              <w:t>AIDA</w:t>
            </w:r>
            <w:r w:rsidR="002B6B66">
              <w:t xml:space="preserve"> (no real monetary cost), needs capital level support for distribution, follow up meetings, needs in country or capital level support for translation of products in German, French, Italian</w:t>
            </w:r>
          </w:p>
        </w:tc>
      </w:tr>
      <w:tr w:rsidR="005202DA" w14:paraId="599C3800" w14:textId="77777777" w:rsidTr="007E6011">
        <w:trPr>
          <w:trHeight w:val="844"/>
        </w:trPr>
        <w:tc>
          <w:tcPr>
            <w:tcW w:w="1851" w:type="dxa"/>
          </w:tcPr>
          <w:p w14:paraId="6B1D4D81" w14:textId="77777777" w:rsidR="00EF615C" w:rsidRDefault="00715918" w:rsidP="00EE7DFC">
            <w:r>
              <w:t>8. Updated factsheets, PQs, and Q and A</w:t>
            </w:r>
          </w:p>
        </w:tc>
        <w:tc>
          <w:tcPr>
            <w:tcW w:w="1662" w:type="dxa"/>
          </w:tcPr>
          <w:p w14:paraId="5E333CFB" w14:textId="77777777" w:rsidR="00EF615C" w:rsidRDefault="004D502F" w:rsidP="00EE7DFC">
            <w:r>
              <w:t>Sub-objective 1, mid-term, strategic</w:t>
            </w:r>
          </w:p>
        </w:tc>
        <w:tc>
          <w:tcPr>
            <w:tcW w:w="2717" w:type="dxa"/>
          </w:tcPr>
          <w:p w14:paraId="6EB75168" w14:textId="77777777" w:rsidR="00EF615C" w:rsidRDefault="005202DA" w:rsidP="00BA06F0">
            <w:r>
              <w:t>Coordination of messages/asks in country and at capital level</w:t>
            </w:r>
          </w:p>
        </w:tc>
        <w:tc>
          <w:tcPr>
            <w:tcW w:w="3378" w:type="dxa"/>
          </w:tcPr>
          <w:p w14:paraId="09BAF606" w14:textId="77777777" w:rsidR="00EF615C" w:rsidRDefault="005202DA" w:rsidP="00BA06F0">
            <w:r>
              <w:t>PA, EU, Diplomatic Community, General public</w:t>
            </w:r>
          </w:p>
        </w:tc>
        <w:tc>
          <w:tcPr>
            <w:tcW w:w="1749" w:type="dxa"/>
          </w:tcPr>
          <w:p w14:paraId="647D05BD" w14:textId="77777777" w:rsidR="00EF615C" w:rsidRDefault="004D502F" w:rsidP="00DA30A9">
            <w:r>
              <w:t>Updated quarterly</w:t>
            </w:r>
          </w:p>
        </w:tc>
        <w:tc>
          <w:tcPr>
            <w:tcW w:w="950" w:type="dxa"/>
          </w:tcPr>
          <w:p w14:paraId="2B522164" w14:textId="77777777" w:rsidR="00EF615C" w:rsidRDefault="005202DA" w:rsidP="00BA06F0">
            <w:r>
              <w:t>AIDA</w:t>
            </w:r>
          </w:p>
        </w:tc>
        <w:tc>
          <w:tcPr>
            <w:tcW w:w="1172" w:type="dxa"/>
          </w:tcPr>
          <w:p w14:paraId="08D7CB3A" w14:textId="77777777" w:rsidR="00EF615C" w:rsidRDefault="005202DA" w:rsidP="00BA06F0">
            <w:r>
              <w:t>AIDA</w:t>
            </w:r>
            <w:r w:rsidR="002B6B66">
              <w:t xml:space="preserve"> (no real monetary support), needs capital level support for journalist briefings, PQs, lobby meetings</w:t>
            </w:r>
          </w:p>
        </w:tc>
      </w:tr>
      <w:tr w:rsidR="002B6B66" w14:paraId="51F84E47" w14:textId="77777777" w:rsidTr="007E6011">
        <w:trPr>
          <w:trHeight w:val="844"/>
        </w:trPr>
        <w:tc>
          <w:tcPr>
            <w:tcW w:w="1851" w:type="dxa"/>
          </w:tcPr>
          <w:p w14:paraId="591D4039" w14:textId="77777777" w:rsidR="008E2A57" w:rsidRDefault="008E2A57" w:rsidP="00EE7DFC">
            <w:r>
              <w:t>9. Policy brief for Germany</w:t>
            </w:r>
          </w:p>
        </w:tc>
        <w:tc>
          <w:tcPr>
            <w:tcW w:w="1662" w:type="dxa"/>
          </w:tcPr>
          <w:p w14:paraId="5235BDF2" w14:textId="77777777" w:rsidR="008E2A57" w:rsidRDefault="008E2A57" w:rsidP="00EE7DFC">
            <w:r>
              <w:t>Sub-objective 1</w:t>
            </w:r>
          </w:p>
        </w:tc>
        <w:tc>
          <w:tcPr>
            <w:tcW w:w="2717" w:type="dxa"/>
          </w:tcPr>
          <w:p w14:paraId="72C4D4B0" w14:textId="77777777" w:rsidR="008E2A57" w:rsidRDefault="008E2A57" w:rsidP="00BA06F0">
            <w:r>
              <w:t>Persuade Germany to increase political will and not block EU action plan</w:t>
            </w:r>
          </w:p>
        </w:tc>
        <w:tc>
          <w:tcPr>
            <w:tcW w:w="3378" w:type="dxa"/>
          </w:tcPr>
          <w:p w14:paraId="042053BC" w14:textId="77777777" w:rsidR="008E2A57" w:rsidRDefault="008E2A57" w:rsidP="00BA06F0">
            <w:r>
              <w:t>Germany</w:t>
            </w:r>
          </w:p>
        </w:tc>
        <w:tc>
          <w:tcPr>
            <w:tcW w:w="1749" w:type="dxa"/>
          </w:tcPr>
          <w:p w14:paraId="67390712" w14:textId="77777777" w:rsidR="008E2A57" w:rsidRDefault="008E2A57" w:rsidP="00DA30A9">
            <w:r>
              <w:t>September</w:t>
            </w:r>
            <w:r w:rsidR="002B6B66">
              <w:t xml:space="preserve"> or relevant hook</w:t>
            </w:r>
          </w:p>
        </w:tc>
        <w:tc>
          <w:tcPr>
            <w:tcW w:w="950" w:type="dxa"/>
          </w:tcPr>
          <w:p w14:paraId="11D12B16" w14:textId="77777777" w:rsidR="008E2A57" w:rsidRDefault="002B6B66" w:rsidP="00BA06F0">
            <w:r>
              <w:t>Heinrich Boll, medico international, CARE, NRC</w:t>
            </w:r>
          </w:p>
        </w:tc>
        <w:tc>
          <w:tcPr>
            <w:tcW w:w="1172" w:type="dxa"/>
          </w:tcPr>
          <w:p w14:paraId="206EB3E6" w14:textId="77777777" w:rsidR="008E2A57" w:rsidRDefault="002B6B66" w:rsidP="00BA06F0">
            <w:r>
              <w:t>Needs support for lobby meetings in Ramallah, Tel Aviv, Berlin</w:t>
            </w:r>
          </w:p>
        </w:tc>
      </w:tr>
      <w:tr w:rsidR="002B6B66" w14:paraId="22EF6550" w14:textId="77777777" w:rsidTr="007E6011">
        <w:trPr>
          <w:trHeight w:val="844"/>
        </w:trPr>
        <w:tc>
          <w:tcPr>
            <w:tcW w:w="1851" w:type="dxa"/>
          </w:tcPr>
          <w:p w14:paraId="3DDFDDD3" w14:textId="77777777" w:rsidR="008E2A57" w:rsidRDefault="008E2A57" w:rsidP="00EE7DFC">
            <w:r>
              <w:t>10. Factsheet on settlements and demolitions</w:t>
            </w:r>
          </w:p>
        </w:tc>
        <w:tc>
          <w:tcPr>
            <w:tcW w:w="1662" w:type="dxa"/>
          </w:tcPr>
          <w:p w14:paraId="504DADEF" w14:textId="77777777" w:rsidR="008E2A57" w:rsidRDefault="008E2A57" w:rsidP="00EE7DFC">
            <w:r>
              <w:t>Sub-objective 2; Mid-term, strategic</w:t>
            </w:r>
          </w:p>
        </w:tc>
        <w:tc>
          <w:tcPr>
            <w:tcW w:w="2717" w:type="dxa"/>
          </w:tcPr>
          <w:p w14:paraId="4F169233" w14:textId="77777777" w:rsidR="008E2A57" w:rsidRDefault="008E2A57" w:rsidP="00BA06F0">
            <w:r>
              <w:t>Create evidence that links demolition and displacement to settlement expansion</w:t>
            </w:r>
          </w:p>
        </w:tc>
        <w:tc>
          <w:tcPr>
            <w:tcW w:w="3378" w:type="dxa"/>
          </w:tcPr>
          <w:p w14:paraId="2FF38957" w14:textId="77777777" w:rsidR="008E2A57" w:rsidRDefault="008E2A57" w:rsidP="00BA06F0">
            <w:r>
              <w:t>PA, EU, Diplomatic Community, General public</w:t>
            </w:r>
          </w:p>
        </w:tc>
        <w:tc>
          <w:tcPr>
            <w:tcW w:w="1749" w:type="dxa"/>
          </w:tcPr>
          <w:p w14:paraId="2CE8AE24" w14:textId="77777777" w:rsidR="008E2A57" w:rsidRDefault="008E2A57" w:rsidP="00DA30A9">
            <w:r>
              <w:t>March</w:t>
            </w:r>
          </w:p>
        </w:tc>
        <w:tc>
          <w:tcPr>
            <w:tcW w:w="950" w:type="dxa"/>
          </w:tcPr>
          <w:p w14:paraId="756D6541" w14:textId="77777777" w:rsidR="008E2A57" w:rsidRDefault="005202DA" w:rsidP="00BA06F0">
            <w:r>
              <w:t>AIDA</w:t>
            </w:r>
          </w:p>
        </w:tc>
        <w:tc>
          <w:tcPr>
            <w:tcW w:w="1172" w:type="dxa"/>
          </w:tcPr>
          <w:p w14:paraId="00D26814" w14:textId="77777777" w:rsidR="008E2A57" w:rsidRDefault="005202DA" w:rsidP="00BA06F0">
            <w:r>
              <w:t>Paid by AIDA ECHO funds from 2013</w:t>
            </w:r>
            <w:r w:rsidR="00D362E0">
              <w:t>, needs support for distribution/media briefings in country and at capital level</w:t>
            </w:r>
          </w:p>
        </w:tc>
      </w:tr>
      <w:tr w:rsidR="00530D18" w14:paraId="268180B8" w14:textId="77777777" w:rsidTr="00C6487D">
        <w:trPr>
          <w:trHeight w:val="3401"/>
        </w:trPr>
        <w:tc>
          <w:tcPr>
            <w:tcW w:w="13479" w:type="dxa"/>
            <w:gridSpan w:val="7"/>
          </w:tcPr>
          <w:p w14:paraId="550E81AF" w14:textId="77777777" w:rsidR="00530D18" w:rsidRPr="00A90D64" w:rsidRDefault="00DA30A9" w:rsidP="00BE0787">
            <w:pPr>
              <w:pBdr>
                <w:top w:val="dashSmallGap" w:sz="4" w:space="1" w:color="auto"/>
                <w:left w:val="dashSmallGap" w:sz="4" w:space="4" w:color="auto"/>
                <w:bottom w:val="dashSmallGap" w:sz="4" w:space="1" w:color="auto"/>
                <w:right w:val="dashSmallGap" w:sz="4" w:space="4" w:color="auto"/>
              </w:pBdr>
              <w:shd w:val="clear" w:color="auto" w:fill="E5DFEC" w:themeFill="accent4" w:themeFillTint="33"/>
              <w:rPr>
                <w:b/>
                <w:bCs/>
                <w:sz w:val="28"/>
                <w:szCs w:val="28"/>
              </w:rPr>
            </w:pPr>
            <w:r>
              <w:rPr>
                <w:b/>
                <w:bCs/>
                <w:sz w:val="28"/>
                <w:szCs w:val="28"/>
              </w:rPr>
              <w:lastRenderedPageBreak/>
              <w:t xml:space="preserve"> </w:t>
            </w:r>
            <w:r w:rsidR="00530D18">
              <w:rPr>
                <w:b/>
                <w:bCs/>
                <w:sz w:val="28"/>
                <w:szCs w:val="28"/>
              </w:rPr>
              <w:t>Indicators</w:t>
            </w:r>
          </w:p>
          <w:p w14:paraId="2891F0D4" w14:textId="77777777" w:rsidR="000F4D19" w:rsidRPr="00247CD8" w:rsidRDefault="000F4D19" w:rsidP="000F4D19">
            <w:pPr>
              <w:rPr>
                <w:b/>
                <w:bCs/>
                <w:sz w:val="28"/>
                <w:szCs w:val="28"/>
              </w:rPr>
            </w:pPr>
            <w:r w:rsidRPr="00247CD8">
              <w:rPr>
                <w:b/>
                <w:bCs/>
                <w:sz w:val="28"/>
                <w:szCs w:val="28"/>
              </w:rPr>
              <w:t>For sub-objective 1</w:t>
            </w:r>
          </w:p>
          <w:p w14:paraId="01D0B383" w14:textId="77777777" w:rsidR="00B77D94" w:rsidRDefault="00B77D94" w:rsidP="000F4D19"/>
          <w:p w14:paraId="3E83486F" w14:textId="77777777" w:rsidR="00F03730" w:rsidRDefault="00382BBF" w:rsidP="00247CD8">
            <w:pPr>
              <w:pStyle w:val="ListParagraph"/>
              <w:numPr>
                <w:ilvl w:val="0"/>
                <w:numId w:val="15"/>
              </w:numPr>
            </w:pPr>
            <w:r>
              <w:t xml:space="preserve">Relative increase </w:t>
            </w:r>
            <w:r w:rsidR="007E6011">
              <w:t>or same level in/of</w:t>
            </w:r>
            <w:r>
              <w:t xml:space="preserve"> </w:t>
            </w:r>
            <w:r w:rsidR="00B77D94">
              <w:t xml:space="preserve">EU and member states </w:t>
            </w:r>
            <w:r>
              <w:t>funding for humanitarian and development in Area C</w:t>
            </w:r>
            <w:r w:rsidR="00F03730">
              <w:t xml:space="preserve"> (as compared to 2012, 2013)</w:t>
            </w:r>
          </w:p>
          <w:p w14:paraId="4D7EABBC" w14:textId="77777777" w:rsidR="00F03730" w:rsidRDefault="00F54B32" w:rsidP="00247CD8">
            <w:pPr>
              <w:pStyle w:val="ListParagraph"/>
              <w:numPr>
                <w:ilvl w:val="0"/>
                <w:numId w:val="15"/>
              </w:numPr>
            </w:pPr>
            <w:r>
              <w:t xml:space="preserve">Zero applications for </w:t>
            </w:r>
            <w:r w:rsidR="00F03730">
              <w:t xml:space="preserve">humanitarian projects </w:t>
            </w:r>
            <w:r>
              <w:t>(in 2014)</w:t>
            </w:r>
          </w:p>
          <w:p w14:paraId="0F8F1AE0" w14:textId="77777777" w:rsidR="00F54B32" w:rsidRDefault="00F54B32" w:rsidP="00247CD8">
            <w:pPr>
              <w:pStyle w:val="ListParagraph"/>
              <w:numPr>
                <w:ilvl w:val="0"/>
                <w:numId w:val="15"/>
              </w:numPr>
            </w:pPr>
            <w:r>
              <w:t>Increase in # of donors seeking permits from Palestinian planning committees</w:t>
            </w:r>
          </w:p>
          <w:p w14:paraId="0006B31C" w14:textId="77777777" w:rsidR="00F03730" w:rsidRDefault="00F03730" w:rsidP="00247CD8">
            <w:pPr>
              <w:pStyle w:val="ListParagraph"/>
              <w:numPr>
                <w:ilvl w:val="0"/>
                <w:numId w:val="15"/>
              </w:numPr>
            </w:pPr>
            <w:r>
              <w:t>Construction w/o permits from ICA in master planned area starts</w:t>
            </w:r>
          </w:p>
          <w:p w14:paraId="1C11E156" w14:textId="77777777" w:rsidR="00F03730" w:rsidRDefault="00F03730" w:rsidP="00247CD8">
            <w:pPr>
              <w:pStyle w:val="ListParagraph"/>
              <w:numPr>
                <w:ilvl w:val="0"/>
                <w:numId w:val="15"/>
              </w:numPr>
            </w:pPr>
            <w:r>
              <w:t>Increase in # of statements from EU and member states regarding demolition, displacement, aid confiscation/</w:t>
            </w:r>
            <w:r w:rsidR="00247CD8">
              <w:t>destruction (as compared to 2013)</w:t>
            </w:r>
          </w:p>
          <w:p w14:paraId="74FE6181" w14:textId="77777777" w:rsidR="00247CD8" w:rsidRDefault="00247CD8" w:rsidP="00247CD8">
            <w:pPr>
              <w:pStyle w:val="ListParagraph"/>
              <w:numPr>
                <w:ilvl w:val="0"/>
                <w:numId w:val="15"/>
              </w:numPr>
            </w:pPr>
            <w:r>
              <w:t>Increase in demarches from EU and member states regarding demolition, displacement, aid confiscation/destruction (as compared to 2013)</w:t>
            </w:r>
          </w:p>
          <w:p w14:paraId="5DEF815B" w14:textId="77777777" w:rsidR="00530D18" w:rsidRDefault="00247CD8" w:rsidP="00C6487D">
            <w:pPr>
              <w:pStyle w:val="ListParagraph"/>
              <w:numPr>
                <w:ilvl w:val="0"/>
                <w:numId w:val="15"/>
              </w:numPr>
            </w:pPr>
            <w:r>
              <w:t xml:space="preserve">Increase in # of donors </w:t>
            </w:r>
            <w:r w:rsidR="00F03730">
              <w:t>seek</w:t>
            </w:r>
            <w:r>
              <w:t>ing</w:t>
            </w:r>
            <w:r w:rsidR="00F03730">
              <w:t xml:space="preserve"> compensation for confiscated and destroyed aid</w:t>
            </w:r>
          </w:p>
          <w:p w14:paraId="484264B0" w14:textId="77777777" w:rsidR="00F54B32" w:rsidRDefault="00F54B32" w:rsidP="00C6487D">
            <w:pPr>
              <w:pStyle w:val="ListParagraph"/>
              <w:numPr>
                <w:ilvl w:val="0"/>
                <w:numId w:val="15"/>
              </w:numPr>
            </w:pPr>
            <w:r>
              <w:t>Increase in # of donors taking protective measures towards Area C investments (protective measures could be summoning/questioning over demolition/stop work orders, statements condemning demolition/stop work orders)</w:t>
            </w:r>
          </w:p>
          <w:p w14:paraId="361D8B9B" w14:textId="77777777" w:rsidR="00F54B32" w:rsidRPr="00247CD8" w:rsidRDefault="00F54B32" w:rsidP="00F54B32">
            <w:pPr>
              <w:pStyle w:val="ListParagraph"/>
            </w:pPr>
          </w:p>
        </w:tc>
      </w:tr>
      <w:tr w:rsidR="000F4D19" w14:paraId="03AE2FEA" w14:textId="77777777" w:rsidTr="000F4D19">
        <w:trPr>
          <w:trHeight w:val="422"/>
        </w:trPr>
        <w:tc>
          <w:tcPr>
            <w:tcW w:w="13479" w:type="dxa"/>
            <w:gridSpan w:val="7"/>
          </w:tcPr>
          <w:p w14:paraId="5133CA4A" w14:textId="77777777" w:rsidR="00C6487D" w:rsidRPr="00C6487D" w:rsidRDefault="00C6487D" w:rsidP="00C6487D">
            <w:pPr>
              <w:pBdr>
                <w:top w:val="dashSmallGap" w:sz="4" w:space="1" w:color="auto"/>
                <w:left w:val="dashSmallGap" w:sz="4" w:space="4" w:color="auto"/>
                <w:bottom w:val="dashSmallGap" w:sz="4" w:space="1" w:color="auto"/>
                <w:right w:val="dashSmallGap" w:sz="4" w:space="4" w:color="auto"/>
              </w:pBdr>
              <w:shd w:val="clear" w:color="auto" w:fill="FFFFFF" w:themeFill="background1"/>
              <w:tabs>
                <w:tab w:val="left" w:pos="3433"/>
              </w:tabs>
            </w:pPr>
          </w:p>
          <w:p w14:paraId="4AE4629B" w14:textId="77777777" w:rsidR="00C6487D" w:rsidRDefault="00C6487D" w:rsidP="00C6487D">
            <w:pPr>
              <w:pBdr>
                <w:top w:val="dashSmallGap" w:sz="4" w:space="1" w:color="auto"/>
                <w:left w:val="dashSmallGap" w:sz="4" w:space="4" w:color="auto"/>
                <w:bottom w:val="dashSmallGap" w:sz="4" w:space="1" w:color="auto"/>
                <w:right w:val="dashSmallGap" w:sz="4" w:space="4" w:color="auto"/>
              </w:pBdr>
              <w:shd w:val="clear" w:color="auto" w:fill="FFFFFF" w:themeFill="background1"/>
              <w:tabs>
                <w:tab w:val="left" w:pos="3433"/>
              </w:tabs>
              <w:rPr>
                <w:b/>
                <w:bCs/>
                <w:sz w:val="28"/>
                <w:szCs w:val="28"/>
              </w:rPr>
            </w:pPr>
            <w:r>
              <w:rPr>
                <w:b/>
                <w:bCs/>
                <w:sz w:val="28"/>
                <w:szCs w:val="28"/>
              </w:rPr>
              <w:t>For sub-objective 2</w:t>
            </w:r>
          </w:p>
          <w:p w14:paraId="36A7B976" w14:textId="77777777" w:rsidR="00C6487D" w:rsidRPr="00C6487D" w:rsidRDefault="00C6487D" w:rsidP="00C6487D">
            <w:pPr>
              <w:pStyle w:val="ListParagraph"/>
              <w:numPr>
                <w:ilvl w:val="0"/>
                <w:numId w:val="16"/>
              </w:numPr>
              <w:pBdr>
                <w:top w:val="dashSmallGap" w:sz="4" w:space="1" w:color="auto"/>
                <w:left w:val="dashSmallGap" w:sz="4" w:space="4" w:color="auto"/>
                <w:bottom w:val="dashSmallGap" w:sz="4" w:space="1" w:color="auto"/>
                <w:right w:val="dashSmallGap" w:sz="4" w:space="4" w:color="auto"/>
              </w:pBdr>
              <w:shd w:val="clear" w:color="auto" w:fill="FFFFFF" w:themeFill="background1"/>
              <w:tabs>
                <w:tab w:val="left" w:pos="3433"/>
              </w:tabs>
            </w:pPr>
            <w:r w:rsidRPr="00C6487D">
              <w:t xml:space="preserve">Increase in # of statements from PA condemning demolitions and displacement </w:t>
            </w:r>
            <w:r w:rsidR="00F54B32">
              <w:t>along with settlements</w:t>
            </w:r>
            <w:r w:rsidRPr="00C6487D">
              <w:t>(as compared to 2013)</w:t>
            </w:r>
          </w:p>
          <w:p w14:paraId="5B82C5F2" w14:textId="77777777" w:rsidR="00C6487D" w:rsidRPr="00C6487D" w:rsidRDefault="00C6487D" w:rsidP="00C6487D">
            <w:pPr>
              <w:pStyle w:val="ListParagraph"/>
              <w:numPr>
                <w:ilvl w:val="0"/>
                <w:numId w:val="16"/>
              </w:numPr>
              <w:pBdr>
                <w:top w:val="dashSmallGap" w:sz="4" w:space="1" w:color="auto"/>
                <w:left w:val="dashSmallGap" w:sz="4" w:space="4" w:color="auto"/>
                <w:bottom w:val="dashSmallGap" w:sz="4" w:space="1" w:color="auto"/>
                <w:right w:val="dashSmallGap" w:sz="4" w:space="4" w:color="auto"/>
              </w:pBdr>
              <w:shd w:val="clear" w:color="auto" w:fill="FFFFFF" w:themeFill="background1"/>
              <w:tabs>
                <w:tab w:val="left" w:pos="3433"/>
              </w:tabs>
            </w:pPr>
            <w:r w:rsidRPr="00C6487D">
              <w:t>Increase in # of demands by PA for reparation for demolition and displacement on behalf of Palestinian communities (as compared to past years)</w:t>
            </w:r>
          </w:p>
          <w:p w14:paraId="42F0CC33" w14:textId="77777777" w:rsidR="00C6487D" w:rsidRPr="00C6487D" w:rsidRDefault="00C6487D" w:rsidP="00C6487D">
            <w:pPr>
              <w:pStyle w:val="ListParagraph"/>
              <w:numPr>
                <w:ilvl w:val="0"/>
                <w:numId w:val="16"/>
              </w:numPr>
              <w:pBdr>
                <w:top w:val="dashSmallGap" w:sz="4" w:space="1" w:color="auto"/>
                <w:left w:val="dashSmallGap" w:sz="4" w:space="4" w:color="auto"/>
                <w:bottom w:val="dashSmallGap" w:sz="4" w:space="1" w:color="auto"/>
                <w:right w:val="dashSmallGap" w:sz="4" w:space="4" w:color="auto"/>
              </w:pBdr>
              <w:shd w:val="clear" w:color="auto" w:fill="FFFFFF" w:themeFill="background1"/>
              <w:tabs>
                <w:tab w:val="left" w:pos="3433"/>
              </w:tabs>
            </w:pPr>
            <w:r w:rsidRPr="00C6487D">
              <w:t># of line ministries that adapt and implement the National Framework for Area C</w:t>
            </w:r>
          </w:p>
          <w:p w14:paraId="2AD6A0F6" w14:textId="77777777" w:rsidR="00C6487D" w:rsidRPr="00C6487D" w:rsidRDefault="00C6487D" w:rsidP="00C6487D">
            <w:pPr>
              <w:pStyle w:val="ListParagraph"/>
              <w:numPr>
                <w:ilvl w:val="0"/>
                <w:numId w:val="16"/>
              </w:numPr>
              <w:pBdr>
                <w:top w:val="dashSmallGap" w:sz="4" w:space="1" w:color="auto"/>
                <w:left w:val="dashSmallGap" w:sz="4" w:space="4" w:color="auto"/>
                <w:bottom w:val="dashSmallGap" w:sz="4" w:space="1" w:color="auto"/>
                <w:right w:val="dashSmallGap" w:sz="4" w:space="4" w:color="auto"/>
              </w:pBdr>
              <w:shd w:val="clear" w:color="auto" w:fill="FFFFFF" w:themeFill="background1"/>
              <w:tabs>
                <w:tab w:val="left" w:pos="3433"/>
              </w:tabs>
            </w:pPr>
            <w:r w:rsidRPr="00C6487D">
              <w:t>Increase in #of line ministries implementing proactive and reactive plans to address demolitions and displacement (as compared to 2013)</w:t>
            </w:r>
          </w:p>
          <w:p w14:paraId="06E9CE72" w14:textId="77777777" w:rsidR="00C6487D" w:rsidRPr="00C6487D" w:rsidRDefault="00C6487D" w:rsidP="00C6487D">
            <w:pPr>
              <w:pStyle w:val="ListParagraph"/>
              <w:numPr>
                <w:ilvl w:val="0"/>
                <w:numId w:val="16"/>
              </w:numPr>
              <w:pBdr>
                <w:top w:val="dashSmallGap" w:sz="4" w:space="1" w:color="auto"/>
                <w:left w:val="dashSmallGap" w:sz="4" w:space="4" w:color="auto"/>
                <w:bottom w:val="dashSmallGap" w:sz="4" w:space="1" w:color="auto"/>
                <w:right w:val="dashSmallGap" w:sz="4" w:space="4" w:color="auto"/>
              </w:pBdr>
              <w:shd w:val="clear" w:color="auto" w:fill="FFFFFF" w:themeFill="background1"/>
              <w:tabs>
                <w:tab w:val="left" w:pos="3433"/>
              </w:tabs>
            </w:pPr>
            <w:r w:rsidRPr="00C6487D">
              <w:t>Increase in # of donors that support development projects in line with Palestinian National Spatial Planning (as compared to 2013)</w:t>
            </w:r>
          </w:p>
          <w:p w14:paraId="52A18D0E" w14:textId="77777777" w:rsidR="00C6487D" w:rsidRDefault="00C6487D" w:rsidP="00C6487D">
            <w:pPr>
              <w:pStyle w:val="ListParagraph"/>
              <w:numPr>
                <w:ilvl w:val="0"/>
                <w:numId w:val="16"/>
              </w:numPr>
              <w:pBdr>
                <w:top w:val="dashSmallGap" w:sz="4" w:space="1" w:color="auto"/>
                <w:left w:val="dashSmallGap" w:sz="4" w:space="4" w:color="auto"/>
                <w:bottom w:val="dashSmallGap" w:sz="4" w:space="1" w:color="auto"/>
                <w:right w:val="dashSmallGap" w:sz="4" w:space="4" w:color="auto"/>
              </w:pBdr>
              <w:shd w:val="clear" w:color="auto" w:fill="FFFFFF" w:themeFill="background1"/>
              <w:tabs>
                <w:tab w:val="left" w:pos="3433"/>
              </w:tabs>
            </w:pPr>
            <w:r w:rsidRPr="00C6487D">
              <w:t>Increase in # of permits issued by Palestinian planning committees</w:t>
            </w:r>
          </w:p>
          <w:p w14:paraId="1AAD4148" w14:textId="77777777" w:rsidR="00C6487D" w:rsidRPr="00C6487D" w:rsidRDefault="00C6487D" w:rsidP="00C6487D">
            <w:pPr>
              <w:pBdr>
                <w:top w:val="dashSmallGap" w:sz="4" w:space="1" w:color="auto"/>
                <w:left w:val="dashSmallGap" w:sz="4" w:space="4" w:color="auto"/>
                <w:bottom w:val="dashSmallGap" w:sz="4" w:space="1" w:color="auto"/>
                <w:right w:val="dashSmallGap" w:sz="4" w:space="4" w:color="auto"/>
              </w:pBdr>
              <w:shd w:val="clear" w:color="auto" w:fill="FFFFFF" w:themeFill="background1"/>
              <w:tabs>
                <w:tab w:val="left" w:pos="3433"/>
              </w:tabs>
              <w:ind w:left="360"/>
            </w:pPr>
          </w:p>
        </w:tc>
      </w:tr>
    </w:tbl>
    <w:p w14:paraId="4C70E5CB" w14:textId="77777777" w:rsidR="005202DA" w:rsidRDefault="005202DA" w:rsidP="00530D18"/>
    <w:p w14:paraId="222C8905" w14:textId="77777777" w:rsidR="00A169A0" w:rsidRDefault="00A169A0" w:rsidP="00530D18"/>
    <w:p w14:paraId="21914A5A" w14:textId="77777777" w:rsidR="00A169A0" w:rsidRDefault="00A169A0" w:rsidP="00530D18"/>
    <w:p w14:paraId="5DDE27C0" w14:textId="77777777" w:rsidR="0035746B" w:rsidRDefault="0035746B" w:rsidP="00530D18"/>
    <w:p w14:paraId="2EA7CE69" w14:textId="77777777" w:rsidR="0035746B" w:rsidRDefault="0035746B" w:rsidP="00530D18"/>
    <w:p w14:paraId="76A66DEE" w14:textId="77777777" w:rsidR="0035746B" w:rsidRDefault="0035746B" w:rsidP="00530D18"/>
    <w:p w14:paraId="69D430DB" w14:textId="77777777" w:rsidR="0035746B" w:rsidRDefault="0035746B" w:rsidP="00530D18"/>
    <w:p w14:paraId="0C6322E5" w14:textId="77777777" w:rsidR="0035746B" w:rsidRDefault="0035746B" w:rsidP="00530D18"/>
    <w:p w14:paraId="523E5CCB" w14:textId="77777777" w:rsidR="002C5FFA" w:rsidRDefault="002C5FFA" w:rsidP="00530D18"/>
    <w:tbl>
      <w:tblPr>
        <w:tblStyle w:val="TableGrid"/>
        <w:tblW w:w="13479" w:type="dxa"/>
        <w:tblLook w:val="04A0" w:firstRow="1" w:lastRow="0" w:firstColumn="1" w:lastColumn="0" w:noHBand="0" w:noVBand="1"/>
      </w:tblPr>
      <w:tblGrid>
        <w:gridCol w:w="2286"/>
        <w:gridCol w:w="1556"/>
        <w:gridCol w:w="2118"/>
        <w:gridCol w:w="2932"/>
        <w:gridCol w:w="1800"/>
        <w:gridCol w:w="1302"/>
        <w:gridCol w:w="1485"/>
      </w:tblGrid>
      <w:tr w:rsidR="00BE0787" w14:paraId="63D7D7DE" w14:textId="77777777">
        <w:trPr>
          <w:trHeight w:val="710"/>
        </w:trPr>
        <w:tc>
          <w:tcPr>
            <w:tcW w:w="13479" w:type="dxa"/>
            <w:gridSpan w:val="7"/>
          </w:tcPr>
          <w:p w14:paraId="3D7ABB07" w14:textId="77777777" w:rsidR="00BE0787" w:rsidRPr="007D5515" w:rsidRDefault="00D12C91" w:rsidP="00BA06F0">
            <w:pPr>
              <w:pBdr>
                <w:top w:val="dashSmallGap" w:sz="4" w:space="1" w:color="auto"/>
                <w:left w:val="dashSmallGap" w:sz="4" w:space="4" w:color="auto"/>
                <w:bottom w:val="dashSmallGap" w:sz="4" w:space="1" w:color="auto"/>
                <w:right w:val="dashSmallGap" w:sz="4" w:space="4" w:color="auto"/>
              </w:pBdr>
              <w:shd w:val="clear" w:color="auto" w:fill="002060"/>
              <w:jc w:val="center"/>
              <w:rPr>
                <w:sz w:val="28"/>
                <w:szCs w:val="28"/>
              </w:rPr>
            </w:pPr>
            <w:r>
              <w:rPr>
                <w:sz w:val="28"/>
                <w:szCs w:val="28"/>
              </w:rPr>
              <w:lastRenderedPageBreak/>
              <w:t xml:space="preserve">GAZA </w:t>
            </w:r>
          </w:p>
          <w:p w14:paraId="2865C8DF" w14:textId="77777777" w:rsidR="00BE0787" w:rsidRPr="00A90D64" w:rsidRDefault="00BE0787" w:rsidP="00BA06F0">
            <w:pPr>
              <w:pBdr>
                <w:top w:val="dashSmallGap" w:sz="4" w:space="1" w:color="auto"/>
                <w:left w:val="dashSmallGap" w:sz="4" w:space="4" w:color="auto"/>
                <w:bottom w:val="dashSmallGap" w:sz="4" w:space="1" w:color="auto"/>
                <w:right w:val="dashSmallGap" w:sz="4" w:space="4" w:color="auto"/>
              </w:pBdr>
              <w:shd w:val="clear" w:color="auto" w:fill="002060"/>
              <w:jc w:val="center"/>
              <w:rPr>
                <w:b/>
                <w:bCs/>
                <w:sz w:val="28"/>
                <w:szCs w:val="28"/>
              </w:rPr>
            </w:pPr>
          </w:p>
        </w:tc>
      </w:tr>
      <w:tr w:rsidR="00BE0787" w14:paraId="04852507" w14:textId="77777777">
        <w:trPr>
          <w:trHeight w:val="1071"/>
        </w:trPr>
        <w:tc>
          <w:tcPr>
            <w:tcW w:w="13479" w:type="dxa"/>
            <w:gridSpan w:val="7"/>
            <w:tcBorders>
              <w:bottom w:val="single" w:sz="4" w:space="0" w:color="auto"/>
            </w:tcBorders>
          </w:tcPr>
          <w:p w14:paraId="6A815D13" w14:textId="77777777" w:rsidR="00BE0787" w:rsidRPr="00A90D64" w:rsidRDefault="00BE0787" w:rsidP="00BA06F0">
            <w:pPr>
              <w:pBdr>
                <w:top w:val="dashSmallGap" w:sz="4" w:space="1" w:color="auto"/>
                <w:left w:val="dashSmallGap" w:sz="4" w:space="4" w:color="auto"/>
                <w:bottom w:val="dashSmallGap" w:sz="4" w:space="1" w:color="auto"/>
                <w:right w:val="dashSmallGap" w:sz="4" w:space="4" w:color="auto"/>
              </w:pBdr>
              <w:shd w:val="clear" w:color="auto" w:fill="E5DFEC" w:themeFill="accent4" w:themeFillTint="33"/>
              <w:rPr>
                <w:b/>
                <w:bCs/>
                <w:sz w:val="28"/>
                <w:szCs w:val="28"/>
              </w:rPr>
            </w:pPr>
            <w:r w:rsidRPr="00A90D64">
              <w:rPr>
                <w:b/>
                <w:bCs/>
                <w:sz w:val="28"/>
                <w:szCs w:val="28"/>
              </w:rPr>
              <w:t>Strategic objective (</w:t>
            </w:r>
            <w:r>
              <w:rPr>
                <w:b/>
                <w:bCs/>
                <w:sz w:val="28"/>
                <w:szCs w:val="28"/>
              </w:rPr>
              <w:t>2</w:t>
            </w:r>
            <w:r w:rsidRPr="00A90D64">
              <w:rPr>
                <w:b/>
                <w:bCs/>
                <w:sz w:val="28"/>
                <w:szCs w:val="28"/>
              </w:rPr>
              <w:t>020)</w:t>
            </w:r>
          </w:p>
          <w:p w14:paraId="7FDCA4A6" w14:textId="77777777" w:rsidR="00BE0787" w:rsidRDefault="00BE0787" w:rsidP="00BA06F0">
            <w:pPr>
              <w:rPr>
                <w:b/>
                <w:bCs/>
              </w:rPr>
            </w:pPr>
          </w:p>
          <w:p w14:paraId="4EA57315" w14:textId="77777777" w:rsidR="00BE0787" w:rsidRDefault="00D12C91" w:rsidP="00D12C91">
            <w:pPr>
              <w:pStyle w:val="ListParagraph"/>
              <w:numPr>
                <w:ilvl w:val="0"/>
                <w:numId w:val="2"/>
              </w:numPr>
            </w:pPr>
            <w:r>
              <w:t xml:space="preserve">End the Gaza Blockade and allow for full social, political, and economic integration </w:t>
            </w:r>
            <w:r w:rsidR="00BE0787" w:rsidRPr="00BE0787">
              <w:t xml:space="preserve">between Gaza, </w:t>
            </w:r>
            <w:r w:rsidR="00BE0787">
              <w:t>East-Jerusalem and the rest of the West Bank</w:t>
            </w:r>
          </w:p>
          <w:p w14:paraId="3C3CD35B" w14:textId="77777777" w:rsidR="00BE0787" w:rsidRPr="00BB6FA2" w:rsidRDefault="00BE0787" w:rsidP="00BA06F0"/>
        </w:tc>
      </w:tr>
      <w:tr w:rsidR="00864123" w14:paraId="6A98BED1" w14:textId="77777777" w:rsidTr="00864123">
        <w:trPr>
          <w:trHeight w:val="350"/>
        </w:trPr>
        <w:tc>
          <w:tcPr>
            <w:tcW w:w="13479" w:type="dxa"/>
            <w:gridSpan w:val="7"/>
            <w:tcBorders>
              <w:bottom w:val="single" w:sz="4" w:space="0" w:color="auto"/>
            </w:tcBorders>
          </w:tcPr>
          <w:p w14:paraId="02EA1E4A" w14:textId="77777777" w:rsidR="00864123" w:rsidRPr="00A90D64" w:rsidRDefault="00864123" w:rsidP="00864123">
            <w:pPr>
              <w:pBdr>
                <w:top w:val="dashSmallGap" w:sz="4" w:space="1" w:color="auto"/>
                <w:left w:val="dashSmallGap" w:sz="4" w:space="4" w:color="auto"/>
                <w:bottom w:val="dashSmallGap" w:sz="4" w:space="1" w:color="auto"/>
                <w:right w:val="dashSmallGap" w:sz="4" w:space="4" w:color="auto"/>
              </w:pBdr>
              <w:shd w:val="clear" w:color="auto" w:fill="E5DFEC" w:themeFill="accent4" w:themeFillTint="33"/>
              <w:rPr>
                <w:b/>
                <w:bCs/>
                <w:sz w:val="28"/>
                <w:szCs w:val="28"/>
              </w:rPr>
            </w:pPr>
            <w:r>
              <w:rPr>
                <w:b/>
                <w:bCs/>
                <w:sz w:val="28"/>
                <w:szCs w:val="28"/>
              </w:rPr>
              <w:t>Mid-term objective (2016- 2019)</w:t>
            </w:r>
          </w:p>
        </w:tc>
      </w:tr>
      <w:tr w:rsidR="00864123" w14:paraId="60BF7CD4" w14:textId="77777777">
        <w:trPr>
          <w:trHeight w:val="1071"/>
        </w:trPr>
        <w:tc>
          <w:tcPr>
            <w:tcW w:w="13479" w:type="dxa"/>
            <w:gridSpan w:val="7"/>
            <w:tcBorders>
              <w:bottom w:val="single" w:sz="4" w:space="0" w:color="auto"/>
            </w:tcBorders>
          </w:tcPr>
          <w:p w14:paraId="00DD5224" w14:textId="77777777" w:rsidR="00864123" w:rsidRDefault="00864123" w:rsidP="00864123">
            <w:pPr>
              <w:pStyle w:val="ListParagraph"/>
            </w:pPr>
          </w:p>
          <w:p w14:paraId="45A4DD02" w14:textId="77777777" w:rsidR="00864123" w:rsidRPr="00864123" w:rsidRDefault="00551A44" w:rsidP="00864123">
            <w:pPr>
              <w:pStyle w:val="ListParagraph"/>
              <w:numPr>
                <w:ilvl w:val="0"/>
                <w:numId w:val="2"/>
              </w:numPr>
            </w:pPr>
            <w:r>
              <w:t xml:space="preserve">Palestinians realize </w:t>
            </w:r>
            <w:r w:rsidR="00024506">
              <w:t xml:space="preserve">economic integration between Gaza and the West Bank and there is increased social integration through freer movement of Palestinians between Gaza and the West Bank, including East Jerusalem </w:t>
            </w:r>
          </w:p>
        </w:tc>
      </w:tr>
      <w:tr w:rsidR="00BE0787" w14:paraId="5A6831BB" w14:textId="77777777">
        <w:trPr>
          <w:trHeight w:val="1088"/>
        </w:trPr>
        <w:tc>
          <w:tcPr>
            <w:tcW w:w="13479" w:type="dxa"/>
            <w:gridSpan w:val="7"/>
            <w:tcBorders>
              <w:top w:val="single" w:sz="4" w:space="0" w:color="auto"/>
              <w:bottom w:val="dashSmallGap" w:sz="4" w:space="0" w:color="auto"/>
            </w:tcBorders>
          </w:tcPr>
          <w:p w14:paraId="2D24B3EC" w14:textId="77777777" w:rsidR="001F6812" w:rsidRPr="002C5FFA" w:rsidRDefault="00BE0787" w:rsidP="002C5FFA">
            <w:pPr>
              <w:shd w:val="clear" w:color="auto" w:fill="F2F2F2" w:themeFill="background1" w:themeFillShade="F2"/>
              <w:rPr>
                <w:b/>
                <w:bCs/>
                <w:sz w:val="28"/>
                <w:szCs w:val="28"/>
              </w:rPr>
            </w:pPr>
            <w:r w:rsidRPr="00A90D64">
              <w:rPr>
                <w:b/>
                <w:bCs/>
                <w:sz w:val="28"/>
                <w:szCs w:val="28"/>
              </w:rPr>
              <w:t>Sub</w:t>
            </w:r>
            <w:r w:rsidRPr="00BE0787">
              <w:rPr>
                <w:b/>
                <w:bCs/>
                <w:sz w:val="28"/>
                <w:szCs w:val="28"/>
                <w:shd w:val="clear" w:color="auto" w:fill="E5DFEC" w:themeFill="accent4" w:themeFillTint="33"/>
              </w:rPr>
              <w:t>-</w:t>
            </w:r>
            <w:r w:rsidRPr="00A90D64">
              <w:rPr>
                <w:b/>
                <w:bCs/>
                <w:sz w:val="28"/>
                <w:szCs w:val="28"/>
              </w:rPr>
              <w:t xml:space="preserve">objectives </w:t>
            </w:r>
            <w:r w:rsidR="00D12C91">
              <w:rPr>
                <w:b/>
                <w:bCs/>
                <w:sz w:val="28"/>
                <w:szCs w:val="28"/>
              </w:rPr>
              <w:t xml:space="preserve">2014 &amp; 2015 </w:t>
            </w:r>
          </w:p>
          <w:p w14:paraId="74173594" w14:textId="77777777" w:rsidR="00BE0787" w:rsidRDefault="00A169A0" w:rsidP="00A169A0">
            <w:pPr>
              <w:pStyle w:val="ListParagraph"/>
              <w:numPr>
                <w:ilvl w:val="0"/>
                <w:numId w:val="17"/>
              </w:numPr>
              <w:pBdr>
                <w:top w:val="dashSmallGap" w:sz="4" w:space="1" w:color="auto"/>
                <w:left w:val="dashSmallGap" w:sz="4" w:space="4" w:color="auto"/>
                <w:bottom w:val="dashSmallGap" w:sz="4" w:space="1" w:color="auto"/>
                <w:right w:val="dashSmallGap" w:sz="4" w:space="4" w:color="auto"/>
              </w:pBdr>
            </w:pPr>
            <w:r>
              <w:t>Press Israel to remove barriers limiting Palestinian’s right to health and education and support territorial integration by challenging the security narrative in regards to the movement of patients and students between Gaza and the West Bank</w:t>
            </w:r>
          </w:p>
          <w:p w14:paraId="396F6E98" w14:textId="77777777" w:rsidR="002C5FFA" w:rsidRDefault="00A169A0" w:rsidP="002C5FFA">
            <w:pPr>
              <w:pStyle w:val="ListParagraph"/>
              <w:pBdr>
                <w:top w:val="dashSmallGap" w:sz="4" w:space="1" w:color="auto"/>
                <w:left w:val="dashSmallGap" w:sz="4" w:space="4" w:color="auto"/>
                <w:bottom w:val="dashSmallGap" w:sz="4" w:space="1" w:color="auto"/>
                <w:right w:val="dashSmallGap" w:sz="4" w:space="4" w:color="auto"/>
              </w:pBdr>
            </w:pPr>
            <w:r>
              <w:t>Results:</w:t>
            </w:r>
          </w:p>
          <w:p w14:paraId="02F29291" w14:textId="77777777" w:rsidR="002C5FFA" w:rsidRDefault="002C5FFA" w:rsidP="002C5FFA">
            <w:pPr>
              <w:pStyle w:val="ListParagraph"/>
              <w:numPr>
                <w:ilvl w:val="0"/>
                <w:numId w:val="21"/>
              </w:numPr>
              <w:pBdr>
                <w:top w:val="dashSmallGap" w:sz="4" w:space="1" w:color="auto"/>
                <w:left w:val="dashSmallGap" w:sz="4" w:space="4" w:color="auto"/>
                <w:bottom w:val="dashSmallGap" w:sz="4" w:space="1" w:color="auto"/>
                <w:right w:val="dashSmallGap" w:sz="4" w:space="4" w:color="auto"/>
              </w:pBdr>
            </w:pPr>
            <w:r>
              <w:t xml:space="preserve">Increased transparency in </w:t>
            </w:r>
            <w:r w:rsidR="0035746B">
              <w:t xml:space="preserve">the permit system and </w:t>
            </w:r>
            <w:r>
              <w:t>“security” based permit denials</w:t>
            </w:r>
          </w:p>
          <w:p w14:paraId="2EED73E2" w14:textId="77777777" w:rsidR="002C5FFA" w:rsidRDefault="0035746B" w:rsidP="002C5FFA">
            <w:pPr>
              <w:pStyle w:val="ListParagraph"/>
              <w:numPr>
                <w:ilvl w:val="0"/>
                <w:numId w:val="21"/>
              </w:numPr>
              <w:pBdr>
                <w:top w:val="dashSmallGap" w:sz="4" w:space="1" w:color="auto"/>
                <w:left w:val="dashSmallGap" w:sz="4" w:space="4" w:color="auto"/>
                <w:bottom w:val="dashSmallGap" w:sz="4" w:space="1" w:color="auto"/>
                <w:right w:val="dashSmallGap" w:sz="4" w:space="4" w:color="auto"/>
              </w:pBdr>
            </w:pPr>
            <w:r>
              <w:t xml:space="preserve">International community </w:t>
            </w:r>
            <w:r w:rsidR="002C5FFA">
              <w:t>consistently raise denied travel permits for students and patients</w:t>
            </w:r>
          </w:p>
          <w:p w14:paraId="66836936" w14:textId="77777777" w:rsidR="00BD780D" w:rsidRPr="00530D18" w:rsidRDefault="002C5FFA" w:rsidP="002C5FFA">
            <w:pPr>
              <w:pStyle w:val="ListParagraph"/>
              <w:numPr>
                <w:ilvl w:val="0"/>
                <w:numId w:val="21"/>
              </w:numPr>
              <w:pBdr>
                <w:top w:val="dashSmallGap" w:sz="4" w:space="1" w:color="auto"/>
                <w:left w:val="dashSmallGap" w:sz="4" w:space="4" w:color="auto"/>
                <w:bottom w:val="dashSmallGap" w:sz="4" w:space="1" w:color="auto"/>
                <w:right w:val="dashSmallGap" w:sz="4" w:space="4" w:color="auto"/>
              </w:pBdr>
            </w:pPr>
            <w:r>
              <w:t xml:space="preserve">General public has better understanding of the impact of the blockade on the right to health and education </w:t>
            </w:r>
            <w:r w:rsidR="00C0168F">
              <w:t xml:space="preserve"> </w:t>
            </w:r>
          </w:p>
        </w:tc>
      </w:tr>
      <w:tr w:rsidR="00A169A0" w14:paraId="3D563CAC" w14:textId="77777777" w:rsidTr="00CC4B64">
        <w:trPr>
          <w:trHeight w:val="854"/>
        </w:trPr>
        <w:tc>
          <w:tcPr>
            <w:tcW w:w="13479" w:type="dxa"/>
            <w:gridSpan w:val="7"/>
            <w:tcBorders>
              <w:top w:val="single" w:sz="4" w:space="0" w:color="auto"/>
              <w:bottom w:val="dashSmallGap" w:sz="4" w:space="0" w:color="auto"/>
            </w:tcBorders>
            <w:shd w:val="clear" w:color="auto" w:fill="FFFFFF" w:themeFill="background1"/>
          </w:tcPr>
          <w:p w14:paraId="6A48A919" w14:textId="77777777" w:rsidR="00A169A0" w:rsidRPr="00CC4B64" w:rsidRDefault="002C5FFA" w:rsidP="002C5FFA">
            <w:pPr>
              <w:pStyle w:val="ListParagraph"/>
              <w:numPr>
                <w:ilvl w:val="0"/>
                <w:numId w:val="17"/>
              </w:numPr>
              <w:shd w:val="clear" w:color="auto" w:fill="F2F2F2" w:themeFill="background1" w:themeFillShade="F2"/>
            </w:pPr>
            <w:r w:rsidRPr="00CC4B64">
              <w:t>Press Israel to remove barriers limiting economic development in Gaza and support territorial integrity by challenging the security narrative in regards to the movement of goods between Gaza and the West Bank</w:t>
            </w:r>
          </w:p>
          <w:p w14:paraId="008C1FF1" w14:textId="77777777" w:rsidR="002C5FFA" w:rsidRPr="00CC4B64" w:rsidRDefault="002C5FFA" w:rsidP="002C5FFA">
            <w:pPr>
              <w:shd w:val="clear" w:color="auto" w:fill="F2F2F2" w:themeFill="background1" w:themeFillShade="F2"/>
              <w:ind w:left="360"/>
              <w:rPr>
                <w:b/>
                <w:bCs/>
                <w:sz w:val="28"/>
                <w:szCs w:val="28"/>
              </w:rPr>
            </w:pPr>
          </w:p>
          <w:p w14:paraId="1AB21DB2" w14:textId="77777777" w:rsidR="002C5FFA" w:rsidRPr="00CC4B64" w:rsidRDefault="002C5FFA" w:rsidP="002C5FFA">
            <w:pPr>
              <w:shd w:val="clear" w:color="auto" w:fill="F2F2F2" w:themeFill="background1" w:themeFillShade="F2"/>
              <w:ind w:left="360"/>
            </w:pPr>
            <w:r w:rsidRPr="00CC4B64">
              <w:t>Results:</w:t>
            </w:r>
          </w:p>
          <w:p w14:paraId="3E29F189" w14:textId="77777777" w:rsidR="002C5FFA" w:rsidRPr="00CC4B64" w:rsidRDefault="002C5FFA" w:rsidP="002C5FFA">
            <w:pPr>
              <w:shd w:val="clear" w:color="auto" w:fill="F2F2F2" w:themeFill="background1" w:themeFillShade="F2"/>
              <w:ind w:left="360"/>
            </w:pPr>
          </w:p>
          <w:p w14:paraId="6A23D8C4" w14:textId="77777777" w:rsidR="002C5FFA" w:rsidRPr="00CC4B64" w:rsidRDefault="002C5FFA" w:rsidP="00CC4B64">
            <w:pPr>
              <w:pStyle w:val="ListParagraph"/>
              <w:numPr>
                <w:ilvl w:val="0"/>
                <w:numId w:val="22"/>
              </w:numPr>
              <w:shd w:val="clear" w:color="auto" w:fill="F2F2F2" w:themeFill="background1" w:themeFillShade="F2"/>
            </w:pPr>
            <w:r w:rsidRPr="00CC4B64">
              <w:t>Increased transparency in “security” protocols regarding exports and transfers</w:t>
            </w:r>
          </w:p>
          <w:p w14:paraId="7C3FBE00" w14:textId="77777777" w:rsidR="002C5FFA" w:rsidRPr="00CC4B64" w:rsidRDefault="0035746B" w:rsidP="00CC4B64">
            <w:pPr>
              <w:pStyle w:val="ListParagraph"/>
              <w:numPr>
                <w:ilvl w:val="0"/>
                <w:numId w:val="22"/>
              </w:numPr>
              <w:shd w:val="clear" w:color="auto" w:fill="F2F2F2" w:themeFill="background1" w:themeFillShade="F2"/>
            </w:pPr>
            <w:r>
              <w:t xml:space="preserve">International community </w:t>
            </w:r>
            <w:r w:rsidR="00CC4B64" w:rsidRPr="00CC4B64">
              <w:t>support</w:t>
            </w:r>
            <w:r>
              <w:t>s</w:t>
            </w:r>
            <w:r w:rsidR="00CC4B64" w:rsidRPr="00CC4B64">
              <w:t xml:space="preserve"> the opening and operation of safe passage routes</w:t>
            </w:r>
          </w:p>
          <w:p w14:paraId="34690E4C" w14:textId="77777777" w:rsidR="00CC4B64" w:rsidRPr="00CC4B64" w:rsidRDefault="0035746B" w:rsidP="00CC4B64">
            <w:pPr>
              <w:pStyle w:val="ListParagraph"/>
              <w:numPr>
                <w:ilvl w:val="0"/>
                <w:numId w:val="22"/>
              </w:numPr>
              <w:shd w:val="clear" w:color="auto" w:fill="F2F2F2" w:themeFill="background1" w:themeFillShade="F2"/>
              <w:rPr>
                <w:b/>
                <w:bCs/>
                <w:sz w:val="28"/>
                <w:szCs w:val="28"/>
              </w:rPr>
            </w:pPr>
            <w:r>
              <w:t xml:space="preserve">International community </w:t>
            </w:r>
            <w:r w:rsidR="00CC4B64" w:rsidRPr="00CC4B64">
              <w:t>challenge</w:t>
            </w:r>
            <w:r>
              <w:t>s</w:t>
            </w:r>
            <w:r w:rsidR="00CC4B64" w:rsidRPr="00CC4B64">
              <w:t xml:space="preserve"> the restriction of exports and transfers for “security” reasons</w:t>
            </w:r>
          </w:p>
        </w:tc>
      </w:tr>
      <w:tr w:rsidR="00BE0787" w14:paraId="7281722C" w14:textId="77777777">
        <w:trPr>
          <w:trHeight w:val="692"/>
        </w:trPr>
        <w:tc>
          <w:tcPr>
            <w:tcW w:w="13479" w:type="dxa"/>
            <w:gridSpan w:val="7"/>
            <w:tcBorders>
              <w:top w:val="single" w:sz="4" w:space="0" w:color="auto"/>
              <w:bottom w:val="dashSmallGap" w:sz="4" w:space="0" w:color="auto"/>
            </w:tcBorders>
          </w:tcPr>
          <w:p w14:paraId="30625BC4" w14:textId="77777777" w:rsidR="00CC4B64" w:rsidRDefault="00CC4B64" w:rsidP="00C0168F">
            <w:pPr>
              <w:tabs>
                <w:tab w:val="left" w:pos="5670"/>
              </w:tabs>
              <w:rPr>
                <w:b/>
                <w:bCs/>
              </w:rPr>
            </w:pPr>
            <w:r>
              <w:rPr>
                <w:b/>
                <w:bCs/>
              </w:rPr>
              <w:t>Power analysis for sub-objective 1</w:t>
            </w:r>
          </w:p>
          <w:p w14:paraId="48673A68" w14:textId="77777777" w:rsidR="00CC4B64" w:rsidRDefault="00CC4B64" w:rsidP="00C0168F">
            <w:pPr>
              <w:tabs>
                <w:tab w:val="left" w:pos="5670"/>
              </w:tabs>
              <w:rPr>
                <w:b/>
                <w:bCs/>
              </w:rPr>
            </w:pPr>
          </w:p>
          <w:p w14:paraId="3B387735" w14:textId="77777777" w:rsidR="00BE0787" w:rsidRDefault="00A8740A" w:rsidP="00C0168F">
            <w:pPr>
              <w:tabs>
                <w:tab w:val="left" w:pos="5670"/>
              </w:tabs>
              <w:rPr>
                <w:b/>
                <w:bCs/>
              </w:rPr>
            </w:pPr>
            <w:r w:rsidRPr="00A8740A">
              <w:rPr>
                <w:b/>
                <w:bCs/>
              </w:rPr>
              <w:t>Main Targets</w:t>
            </w:r>
            <w:r w:rsidR="00864123">
              <w:rPr>
                <w:b/>
                <w:bCs/>
              </w:rPr>
              <w:t>: the Quartet</w:t>
            </w:r>
            <w:r w:rsidR="00BC397E">
              <w:rPr>
                <w:b/>
                <w:bCs/>
              </w:rPr>
              <w:t xml:space="preserve"> (in Jerusalem)</w:t>
            </w:r>
            <w:r w:rsidR="00CC4B64">
              <w:rPr>
                <w:b/>
                <w:bCs/>
              </w:rPr>
              <w:t>, the US</w:t>
            </w:r>
            <w:r w:rsidR="00BC397E">
              <w:rPr>
                <w:b/>
                <w:bCs/>
              </w:rPr>
              <w:t xml:space="preserve"> (in Jerusalem, Tel Aviv, and </w:t>
            </w:r>
            <w:r w:rsidR="00DB423A">
              <w:rPr>
                <w:b/>
                <w:bCs/>
              </w:rPr>
              <w:t xml:space="preserve">State Department in </w:t>
            </w:r>
            <w:r w:rsidR="00BC397E">
              <w:rPr>
                <w:b/>
                <w:bCs/>
              </w:rPr>
              <w:t>D.C.)</w:t>
            </w:r>
            <w:r w:rsidR="00DB423A">
              <w:rPr>
                <w:b/>
                <w:bCs/>
              </w:rPr>
              <w:t xml:space="preserve">, </w:t>
            </w:r>
            <w:r w:rsidR="00BC397E">
              <w:rPr>
                <w:b/>
                <w:bCs/>
              </w:rPr>
              <w:t>the EU</w:t>
            </w:r>
            <w:r w:rsidR="00DB423A">
              <w:rPr>
                <w:b/>
                <w:bCs/>
              </w:rPr>
              <w:t xml:space="preserve"> (in Jerusalem &amp; Brussels)</w:t>
            </w:r>
            <w:r w:rsidR="00BC397E">
              <w:rPr>
                <w:b/>
                <w:bCs/>
              </w:rPr>
              <w:t>, the UK</w:t>
            </w:r>
            <w:r w:rsidR="00DB423A">
              <w:rPr>
                <w:b/>
                <w:bCs/>
              </w:rPr>
              <w:t xml:space="preserve"> (in Jerusalem, Tel Aviv</w:t>
            </w:r>
            <w:r w:rsidR="00BC397E">
              <w:rPr>
                <w:b/>
                <w:bCs/>
              </w:rPr>
              <w:t xml:space="preserve">, </w:t>
            </w:r>
            <w:r w:rsidR="0035746B">
              <w:rPr>
                <w:b/>
                <w:bCs/>
              </w:rPr>
              <w:t>London),</w:t>
            </w:r>
            <w:r w:rsidR="00BC397E">
              <w:rPr>
                <w:b/>
                <w:bCs/>
              </w:rPr>
              <w:t xml:space="preserve"> Qatar &amp; Turkey</w:t>
            </w:r>
            <w:r w:rsidR="00DB423A">
              <w:rPr>
                <w:b/>
                <w:bCs/>
              </w:rPr>
              <w:t xml:space="preserve"> (in Ramallah, Doha, and </w:t>
            </w:r>
            <w:proofErr w:type="spellStart"/>
            <w:r w:rsidR="00DB423A">
              <w:rPr>
                <w:b/>
                <w:bCs/>
              </w:rPr>
              <w:t>Ankar</w:t>
            </w:r>
            <w:proofErr w:type="spellEnd"/>
            <w:r w:rsidR="00DB423A">
              <w:rPr>
                <w:b/>
                <w:bCs/>
              </w:rPr>
              <w:t>)</w:t>
            </w:r>
          </w:p>
          <w:p w14:paraId="0041F46A" w14:textId="77777777" w:rsidR="00A8740A" w:rsidRDefault="00A8740A" w:rsidP="00C0168F">
            <w:pPr>
              <w:tabs>
                <w:tab w:val="left" w:pos="5670"/>
              </w:tabs>
              <w:rPr>
                <w:b/>
                <w:bCs/>
              </w:rPr>
            </w:pPr>
          </w:p>
          <w:p w14:paraId="7D4A36E8" w14:textId="77777777" w:rsidR="00A8740A" w:rsidRDefault="00A8740A" w:rsidP="00C0168F">
            <w:pPr>
              <w:tabs>
                <w:tab w:val="left" w:pos="5670"/>
              </w:tabs>
              <w:rPr>
                <w:b/>
                <w:bCs/>
              </w:rPr>
            </w:pPr>
            <w:r>
              <w:rPr>
                <w:b/>
                <w:bCs/>
              </w:rPr>
              <w:t>Blockers: the US</w:t>
            </w:r>
            <w:r w:rsidR="00BC397E">
              <w:rPr>
                <w:b/>
                <w:bCs/>
              </w:rPr>
              <w:t xml:space="preserve">, EU, </w:t>
            </w:r>
            <w:r w:rsidR="00494AB1">
              <w:rPr>
                <w:b/>
                <w:bCs/>
              </w:rPr>
              <w:t>Hamas</w:t>
            </w:r>
          </w:p>
          <w:p w14:paraId="23296F86" w14:textId="77777777" w:rsidR="00A8740A" w:rsidRDefault="00A8740A" w:rsidP="00C0168F">
            <w:pPr>
              <w:tabs>
                <w:tab w:val="left" w:pos="5670"/>
              </w:tabs>
              <w:rPr>
                <w:b/>
                <w:bCs/>
              </w:rPr>
            </w:pPr>
          </w:p>
          <w:p w14:paraId="07A838AE" w14:textId="77777777" w:rsidR="00A8740A" w:rsidRDefault="00A8740A" w:rsidP="00C0168F">
            <w:pPr>
              <w:tabs>
                <w:tab w:val="left" w:pos="5670"/>
              </w:tabs>
              <w:rPr>
                <w:b/>
                <w:bCs/>
              </w:rPr>
            </w:pPr>
            <w:r>
              <w:rPr>
                <w:b/>
                <w:bCs/>
              </w:rPr>
              <w:lastRenderedPageBreak/>
              <w:t>Floaters:</w:t>
            </w:r>
            <w:r w:rsidR="00BC397E">
              <w:rPr>
                <w:b/>
                <w:bCs/>
              </w:rPr>
              <w:t xml:space="preserve"> the Quartet, Norway, UK, Russia, Egypt, PA</w:t>
            </w:r>
          </w:p>
          <w:p w14:paraId="5B932C3F" w14:textId="77777777" w:rsidR="00A8740A" w:rsidRDefault="00A8740A" w:rsidP="00C0168F">
            <w:pPr>
              <w:tabs>
                <w:tab w:val="left" w:pos="5670"/>
              </w:tabs>
              <w:rPr>
                <w:b/>
                <w:bCs/>
              </w:rPr>
            </w:pPr>
          </w:p>
          <w:p w14:paraId="38156034" w14:textId="77777777" w:rsidR="00A8740A" w:rsidRDefault="00A8740A" w:rsidP="00C0168F">
            <w:pPr>
              <w:tabs>
                <w:tab w:val="left" w:pos="5670"/>
              </w:tabs>
              <w:rPr>
                <w:b/>
                <w:bCs/>
              </w:rPr>
            </w:pPr>
            <w:r>
              <w:rPr>
                <w:b/>
                <w:bCs/>
              </w:rPr>
              <w:t xml:space="preserve">Allies: </w:t>
            </w:r>
            <w:r w:rsidR="00BC397E">
              <w:rPr>
                <w:b/>
                <w:bCs/>
              </w:rPr>
              <w:t>USAID (for students),</w:t>
            </w:r>
            <w:r w:rsidR="00494AB1">
              <w:rPr>
                <w:b/>
                <w:bCs/>
              </w:rPr>
              <w:t xml:space="preserve"> Switzerland, UNRWA, </w:t>
            </w:r>
            <w:r w:rsidR="00BC397E">
              <w:rPr>
                <w:b/>
                <w:bCs/>
              </w:rPr>
              <w:t xml:space="preserve">UNICEF, </w:t>
            </w:r>
            <w:r w:rsidR="00494AB1">
              <w:rPr>
                <w:b/>
                <w:bCs/>
              </w:rPr>
              <w:t xml:space="preserve">OCHA, </w:t>
            </w:r>
            <w:r w:rsidR="00BC397E">
              <w:rPr>
                <w:b/>
                <w:bCs/>
              </w:rPr>
              <w:t>WHO, Qatar, Turkey</w:t>
            </w:r>
          </w:p>
          <w:p w14:paraId="27187346" w14:textId="77777777" w:rsidR="002F2A87" w:rsidRDefault="002F2A87" w:rsidP="00C0168F">
            <w:pPr>
              <w:tabs>
                <w:tab w:val="left" w:pos="5670"/>
              </w:tabs>
              <w:rPr>
                <w:b/>
                <w:bCs/>
              </w:rPr>
            </w:pPr>
          </w:p>
          <w:p w14:paraId="700B09BC" w14:textId="77777777" w:rsidR="002F2A87" w:rsidRPr="00A8740A" w:rsidRDefault="002F2A87" w:rsidP="00BC397E">
            <w:pPr>
              <w:tabs>
                <w:tab w:val="left" w:pos="5670"/>
              </w:tabs>
              <w:rPr>
                <w:b/>
                <w:bCs/>
              </w:rPr>
            </w:pPr>
            <w:r>
              <w:rPr>
                <w:b/>
                <w:bCs/>
              </w:rPr>
              <w:t>Main Partners: Right to Education Campaign, Physicians for Human Rights, Gisha</w:t>
            </w:r>
            <w:r w:rsidR="00DB423A">
              <w:rPr>
                <w:b/>
                <w:bCs/>
              </w:rPr>
              <w:t>, HCT AWG</w:t>
            </w:r>
          </w:p>
        </w:tc>
      </w:tr>
      <w:tr w:rsidR="00A8740A" w14:paraId="7D326E44" w14:textId="77777777">
        <w:trPr>
          <w:trHeight w:val="692"/>
        </w:trPr>
        <w:tc>
          <w:tcPr>
            <w:tcW w:w="13479" w:type="dxa"/>
            <w:gridSpan w:val="7"/>
            <w:tcBorders>
              <w:top w:val="single" w:sz="4" w:space="0" w:color="auto"/>
              <w:bottom w:val="dashSmallGap" w:sz="4" w:space="0" w:color="auto"/>
            </w:tcBorders>
          </w:tcPr>
          <w:p w14:paraId="6B05EC01" w14:textId="77777777" w:rsidR="00BC397E" w:rsidRDefault="00BC397E" w:rsidP="00D815D7">
            <w:pPr>
              <w:tabs>
                <w:tab w:val="left" w:pos="5670"/>
              </w:tabs>
              <w:rPr>
                <w:b/>
                <w:bCs/>
              </w:rPr>
            </w:pPr>
            <w:r>
              <w:rPr>
                <w:b/>
                <w:bCs/>
              </w:rPr>
              <w:lastRenderedPageBreak/>
              <w:t>Power analysis for sub-objective 2</w:t>
            </w:r>
          </w:p>
          <w:p w14:paraId="5D3BE377" w14:textId="77777777" w:rsidR="00BC397E" w:rsidRDefault="00BC397E" w:rsidP="00D815D7">
            <w:pPr>
              <w:tabs>
                <w:tab w:val="left" w:pos="5670"/>
              </w:tabs>
              <w:rPr>
                <w:b/>
                <w:bCs/>
              </w:rPr>
            </w:pPr>
          </w:p>
          <w:p w14:paraId="5D9224DF" w14:textId="77777777" w:rsidR="00D815D7" w:rsidRDefault="00D815D7" w:rsidP="00D815D7">
            <w:pPr>
              <w:tabs>
                <w:tab w:val="left" w:pos="5670"/>
              </w:tabs>
              <w:rPr>
                <w:b/>
                <w:bCs/>
              </w:rPr>
            </w:pPr>
            <w:r w:rsidRPr="00A8740A">
              <w:rPr>
                <w:b/>
                <w:bCs/>
              </w:rPr>
              <w:t>Main Targets</w:t>
            </w:r>
            <w:r>
              <w:rPr>
                <w:b/>
                <w:bCs/>
              </w:rPr>
              <w:t>: the Quartet</w:t>
            </w:r>
            <w:r w:rsidR="00BC397E">
              <w:rPr>
                <w:b/>
                <w:bCs/>
              </w:rPr>
              <w:t xml:space="preserve"> (in Jerusalem)</w:t>
            </w:r>
            <w:r>
              <w:rPr>
                <w:b/>
                <w:bCs/>
              </w:rPr>
              <w:t>, the Netherlands</w:t>
            </w:r>
            <w:r w:rsidR="00BC397E">
              <w:rPr>
                <w:b/>
                <w:bCs/>
              </w:rPr>
              <w:t xml:space="preserve"> (in Jerusalem, Tel Aviv</w:t>
            </w:r>
            <w:r>
              <w:rPr>
                <w:b/>
                <w:bCs/>
              </w:rPr>
              <w:t xml:space="preserve">, </w:t>
            </w:r>
            <w:r w:rsidR="00BC397E">
              <w:rPr>
                <w:b/>
                <w:bCs/>
              </w:rPr>
              <w:t>and Amsterdam), the EU</w:t>
            </w:r>
            <w:r w:rsidR="00DB423A">
              <w:rPr>
                <w:b/>
                <w:bCs/>
              </w:rPr>
              <w:t xml:space="preserve"> (in Brussels and Jerusalem</w:t>
            </w:r>
            <w:r w:rsidR="00BC397E">
              <w:rPr>
                <w:b/>
                <w:bCs/>
              </w:rPr>
              <w:t>), the UK (in Jerusalem, Tel Aviv, London)</w:t>
            </w:r>
            <w:r w:rsidR="0035746B">
              <w:rPr>
                <w:b/>
                <w:bCs/>
              </w:rPr>
              <w:t xml:space="preserve">, </w:t>
            </w:r>
            <w:r w:rsidR="00BC397E">
              <w:rPr>
                <w:b/>
                <w:bCs/>
              </w:rPr>
              <w:t xml:space="preserve">Qatar &amp; Turkey (in Ramallah, Doha, and </w:t>
            </w:r>
            <w:proofErr w:type="spellStart"/>
            <w:r w:rsidR="00BC397E">
              <w:rPr>
                <w:b/>
                <w:bCs/>
              </w:rPr>
              <w:t>Ankar</w:t>
            </w:r>
            <w:proofErr w:type="spellEnd"/>
            <w:r w:rsidR="00BC397E">
              <w:rPr>
                <w:b/>
                <w:bCs/>
              </w:rPr>
              <w:t>)</w:t>
            </w:r>
          </w:p>
          <w:p w14:paraId="4A9D5448" w14:textId="77777777" w:rsidR="00D815D7" w:rsidRDefault="00D815D7" w:rsidP="00D815D7">
            <w:pPr>
              <w:tabs>
                <w:tab w:val="left" w:pos="5670"/>
              </w:tabs>
              <w:rPr>
                <w:b/>
                <w:bCs/>
              </w:rPr>
            </w:pPr>
          </w:p>
          <w:p w14:paraId="10B71CC2" w14:textId="77777777" w:rsidR="00D815D7" w:rsidRDefault="00D815D7" w:rsidP="00D815D7">
            <w:pPr>
              <w:tabs>
                <w:tab w:val="left" w:pos="5670"/>
              </w:tabs>
              <w:rPr>
                <w:b/>
                <w:bCs/>
              </w:rPr>
            </w:pPr>
            <w:r>
              <w:rPr>
                <w:b/>
                <w:bCs/>
              </w:rPr>
              <w:t>Blockers: the US</w:t>
            </w:r>
            <w:r w:rsidR="00BC397E">
              <w:rPr>
                <w:b/>
                <w:bCs/>
              </w:rPr>
              <w:t xml:space="preserve">, EU, </w:t>
            </w:r>
            <w:r>
              <w:rPr>
                <w:b/>
                <w:bCs/>
              </w:rPr>
              <w:t>Hamas</w:t>
            </w:r>
          </w:p>
          <w:p w14:paraId="5BD706B5" w14:textId="77777777" w:rsidR="00D815D7" w:rsidRDefault="00D815D7" w:rsidP="00D815D7">
            <w:pPr>
              <w:tabs>
                <w:tab w:val="left" w:pos="5670"/>
              </w:tabs>
              <w:rPr>
                <w:b/>
                <w:bCs/>
              </w:rPr>
            </w:pPr>
          </w:p>
          <w:p w14:paraId="63292B7D" w14:textId="77777777" w:rsidR="00D815D7" w:rsidRDefault="00D815D7" w:rsidP="00D815D7">
            <w:pPr>
              <w:tabs>
                <w:tab w:val="left" w:pos="5670"/>
              </w:tabs>
              <w:rPr>
                <w:b/>
                <w:bCs/>
              </w:rPr>
            </w:pPr>
            <w:r>
              <w:rPr>
                <w:b/>
                <w:bCs/>
              </w:rPr>
              <w:t>Floaters: the Quartet, Norway, UNSCO</w:t>
            </w:r>
            <w:r w:rsidR="00BC397E">
              <w:rPr>
                <w:b/>
                <w:bCs/>
              </w:rPr>
              <w:t>, PA</w:t>
            </w:r>
          </w:p>
          <w:p w14:paraId="3D763D2B" w14:textId="77777777" w:rsidR="00D815D7" w:rsidRDefault="00D815D7" w:rsidP="00D815D7">
            <w:pPr>
              <w:tabs>
                <w:tab w:val="left" w:pos="5670"/>
              </w:tabs>
              <w:rPr>
                <w:b/>
                <w:bCs/>
              </w:rPr>
            </w:pPr>
          </w:p>
          <w:p w14:paraId="7C155D87" w14:textId="77777777" w:rsidR="00D815D7" w:rsidRDefault="00D815D7" w:rsidP="00D815D7">
            <w:pPr>
              <w:tabs>
                <w:tab w:val="left" w:pos="5670"/>
              </w:tabs>
              <w:rPr>
                <w:b/>
                <w:bCs/>
              </w:rPr>
            </w:pPr>
            <w:r>
              <w:rPr>
                <w:b/>
                <w:bCs/>
              </w:rPr>
              <w:t xml:space="preserve">Allies: </w:t>
            </w:r>
            <w:r w:rsidR="00BC397E">
              <w:rPr>
                <w:b/>
                <w:bCs/>
              </w:rPr>
              <w:t xml:space="preserve">the Netherlands, Tony Blair, </w:t>
            </w:r>
            <w:r>
              <w:rPr>
                <w:b/>
                <w:bCs/>
              </w:rPr>
              <w:t>Switzerland, UNRWA, OCHA, FAO, Qatar, Turkey, OFID</w:t>
            </w:r>
          </w:p>
          <w:p w14:paraId="5AB20C1D" w14:textId="77777777" w:rsidR="00D815D7" w:rsidRDefault="00D815D7" w:rsidP="00D815D7">
            <w:pPr>
              <w:tabs>
                <w:tab w:val="left" w:pos="5670"/>
              </w:tabs>
              <w:rPr>
                <w:b/>
                <w:bCs/>
              </w:rPr>
            </w:pPr>
          </w:p>
          <w:p w14:paraId="7B8788FA" w14:textId="77777777" w:rsidR="00A8740A" w:rsidRDefault="00D815D7" w:rsidP="00BC397E">
            <w:pPr>
              <w:tabs>
                <w:tab w:val="left" w:pos="5670"/>
              </w:tabs>
              <w:rPr>
                <w:b/>
                <w:bCs/>
              </w:rPr>
            </w:pPr>
            <w:r>
              <w:rPr>
                <w:b/>
                <w:bCs/>
              </w:rPr>
              <w:t>Main Partner</w:t>
            </w:r>
            <w:r w:rsidR="00BC397E">
              <w:rPr>
                <w:b/>
                <w:bCs/>
              </w:rPr>
              <w:t xml:space="preserve">s: </w:t>
            </w:r>
            <w:r>
              <w:rPr>
                <w:b/>
                <w:bCs/>
              </w:rPr>
              <w:t>PA Trade Commission, Palestinian Chamber of Commerce, Trade Unions</w:t>
            </w:r>
            <w:r w:rsidR="00BC397E">
              <w:rPr>
                <w:b/>
                <w:bCs/>
              </w:rPr>
              <w:t xml:space="preserve"> in UK, US, Scandinavia and the Netherlands, </w:t>
            </w:r>
            <w:r>
              <w:rPr>
                <w:b/>
                <w:bCs/>
              </w:rPr>
              <w:t xml:space="preserve">Gisha, </w:t>
            </w:r>
            <w:proofErr w:type="spellStart"/>
            <w:r>
              <w:rPr>
                <w:b/>
                <w:bCs/>
              </w:rPr>
              <w:t>PalTrade</w:t>
            </w:r>
            <w:proofErr w:type="spellEnd"/>
            <w:r w:rsidR="00DB423A">
              <w:rPr>
                <w:b/>
                <w:bCs/>
              </w:rPr>
              <w:t>, HCT AWG</w:t>
            </w:r>
          </w:p>
          <w:p w14:paraId="199ED3DC" w14:textId="77777777" w:rsidR="00DB423A" w:rsidRPr="00A8740A" w:rsidRDefault="00DB423A" w:rsidP="00BC397E">
            <w:pPr>
              <w:tabs>
                <w:tab w:val="left" w:pos="5670"/>
              </w:tabs>
              <w:rPr>
                <w:b/>
                <w:bCs/>
              </w:rPr>
            </w:pPr>
          </w:p>
        </w:tc>
      </w:tr>
      <w:tr w:rsidR="00BE0787" w14:paraId="7F986C6F" w14:textId="77777777">
        <w:trPr>
          <w:trHeight w:val="448"/>
        </w:trPr>
        <w:tc>
          <w:tcPr>
            <w:tcW w:w="13479" w:type="dxa"/>
            <w:gridSpan w:val="7"/>
            <w:shd w:val="clear" w:color="auto" w:fill="E5DFEC" w:themeFill="accent4" w:themeFillTint="33"/>
          </w:tcPr>
          <w:p w14:paraId="12BD349F" w14:textId="77777777" w:rsidR="00BE0787" w:rsidRPr="00A90D64" w:rsidRDefault="00C0168F" w:rsidP="00BA06F0">
            <w:pPr>
              <w:rPr>
                <w:b/>
                <w:bCs/>
                <w:sz w:val="28"/>
                <w:szCs w:val="28"/>
              </w:rPr>
            </w:pPr>
            <w:r>
              <w:rPr>
                <w:b/>
                <w:bCs/>
                <w:sz w:val="28"/>
                <w:szCs w:val="28"/>
              </w:rPr>
              <w:t xml:space="preserve">Proposed </w:t>
            </w:r>
            <w:r w:rsidRPr="00A90D64">
              <w:rPr>
                <w:b/>
                <w:bCs/>
                <w:sz w:val="28"/>
                <w:szCs w:val="28"/>
              </w:rPr>
              <w:t>Action</w:t>
            </w:r>
            <w:r>
              <w:rPr>
                <w:b/>
                <w:bCs/>
                <w:sz w:val="28"/>
                <w:szCs w:val="28"/>
              </w:rPr>
              <w:t>s 2014 (To be further developed at next AWG meeting)</w:t>
            </w:r>
          </w:p>
        </w:tc>
      </w:tr>
      <w:tr w:rsidR="0035746B" w14:paraId="6E8E8ADC" w14:textId="77777777" w:rsidTr="003C0DF4">
        <w:trPr>
          <w:trHeight w:val="399"/>
        </w:trPr>
        <w:tc>
          <w:tcPr>
            <w:tcW w:w="2286" w:type="dxa"/>
            <w:tcBorders>
              <w:bottom w:val="dotted" w:sz="4" w:space="0" w:color="auto"/>
            </w:tcBorders>
            <w:shd w:val="clear" w:color="auto" w:fill="E5DFEC" w:themeFill="accent4" w:themeFillTint="33"/>
          </w:tcPr>
          <w:p w14:paraId="1584D2C4" w14:textId="77777777" w:rsidR="00FB1D0A" w:rsidRPr="001F6812" w:rsidRDefault="00FB1D0A" w:rsidP="00BA06F0">
            <w:pPr>
              <w:rPr>
                <w:i/>
                <w:iCs/>
                <w:sz w:val="28"/>
                <w:szCs w:val="28"/>
              </w:rPr>
            </w:pPr>
            <w:r w:rsidRPr="001F6812">
              <w:rPr>
                <w:i/>
                <w:iCs/>
                <w:sz w:val="28"/>
                <w:szCs w:val="28"/>
              </w:rPr>
              <w:t>Activity</w:t>
            </w:r>
          </w:p>
        </w:tc>
        <w:tc>
          <w:tcPr>
            <w:tcW w:w="1556" w:type="dxa"/>
            <w:tcBorders>
              <w:bottom w:val="dotted" w:sz="4" w:space="0" w:color="auto"/>
            </w:tcBorders>
            <w:shd w:val="clear" w:color="auto" w:fill="E5DFEC" w:themeFill="accent4" w:themeFillTint="33"/>
          </w:tcPr>
          <w:p w14:paraId="2396672C" w14:textId="77777777" w:rsidR="00FB1D0A" w:rsidRPr="001F6812" w:rsidRDefault="00864123" w:rsidP="00BA06F0">
            <w:pPr>
              <w:rPr>
                <w:i/>
                <w:iCs/>
                <w:sz w:val="28"/>
                <w:szCs w:val="28"/>
              </w:rPr>
            </w:pPr>
            <w:r>
              <w:rPr>
                <w:i/>
                <w:iCs/>
                <w:sz w:val="28"/>
                <w:szCs w:val="28"/>
              </w:rPr>
              <w:t>Relevant Objective(s)</w:t>
            </w:r>
          </w:p>
        </w:tc>
        <w:tc>
          <w:tcPr>
            <w:tcW w:w="2118" w:type="dxa"/>
            <w:tcBorders>
              <w:bottom w:val="dotted" w:sz="4" w:space="0" w:color="auto"/>
            </w:tcBorders>
            <w:shd w:val="clear" w:color="auto" w:fill="E5DFEC" w:themeFill="accent4" w:themeFillTint="33"/>
          </w:tcPr>
          <w:p w14:paraId="5C00BEC7" w14:textId="77777777" w:rsidR="00FB1D0A" w:rsidRPr="001F6812" w:rsidRDefault="00FB1D0A" w:rsidP="00BA06F0">
            <w:pPr>
              <w:rPr>
                <w:i/>
                <w:iCs/>
                <w:sz w:val="28"/>
                <w:szCs w:val="28"/>
              </w:rPr>
            </w:pPr>
            <w:r w:rsidRPr="001F6812">
              <w:rPr>
                <w:i/>
                <w:iCs/>
                <w:sz w:val="28"/>
                <w:szCs w:val="28"/>
              </w:rPr>
              <w:t>Purpose</w:t>
            </w:r>
          </w:p>
        </w:tc>
        <w:tc>
          <w:tcPr>
            <w:tcW w:w="2932" w:type="dxa"/>
            <w:tcBorders>
              <w:bottom w:val="dotted" w:sz="4" w:space="0" w:color="auto"/>
            </w:tcBorders>
            <w:shd w:val="clear" w:color="auto" w:fill="E5DFEC" w:themeFill="accent4" w:themeFillTint="33"/>
          </w:tcPr>
          <w:p w14:paraId="23A3B030" w14:textId="77777777" w:rsidR="00FB1D0A" w:rsidRPr="001F6812" w:rsidRDefault="00FB1D0A" w:rsidP="00BA06F0">
            <w:pPr>
              <w:rPr>
                <w:i/>
                <w:iCs/>
                <w:sz w:val="28"/>
                <w:szCs w:val="28"/>
              </w:rPr>
            </w:pPr>
            <w:r w:rsidRPr="001F6812">
              <w:rPr>
                <w:i/>
                <w:iCs/>
                <w:sz w:val="28"/>
                <w:szCs w:val="28"/>
              </w:rPr>
              <w:t>Target(s)</w:t>
            </w:r>
          </w:p>
        </w:tc>
        <w:tc>
          <w:tcPr>
            <w:tcW w:w="1800" w:type="dxa"/>
            <w:tcBorders>
              <w:bottom w:val="dotted" w:sz="4" w:space="0" w:color="auto"/>
            </w:tcBorders>
            <w:shd w:val="clear" w:color="auto" w:fill="E5DFEC" w:themeFill="accent4" w:themeFillTint="33"/>
          </w:tcPr>
          <w:p w14:paraId="59AAD762" w14:textId="77777777" w:rsidR="00FB1D0A" w:rsidRPr="001F6812" w:rsidRDefault="00FB1D0A" w:rsidP="00BA06F0">
            <w:pPr>
              <w:rPr>
                <w:i/>
                <w:iCs/>
                <w:sz w:val="28"/>
                <w:szCs w:val="28"/>
              </w:rPr>
            </w:pPr>
            <w:r w:rsidRPr="001F6812">
              <w:rPr>
                <w:i/>
                <w:iCs/>
                <w:sz w:val="28"/>
                <w:szCs w:val="28"/>
              </w:rPr>
              <w:t>Timeline</w:t>
            </w:r>
          </w:p>
        </w:tc>
        <w:tc>
          <w:tcPr>
            <w:tcW w:w="1302" w:type="dxa"/>
            <w:shd w:val="clear" w:color="auto" w:fill="E5DFEC" w:themeFill="accent4" w:themeFillTint="33"/>
          </w:tcPr>
          <w:p w14:paraId="0A15C26A" w14:textId="77777777" w:rsidR="00FB1D0A" w:rsidRPr="001F6812" w:rsidRDefault="00FB1D0A" w:rsidP="00BA06F0">
            <w:pPr>
              <w:rPr>
                <w:i/>
                <w:iCs/>
                <w:sz w:val="28"/>
                <w:szCs w:val="28"/>
              </w:rPr>
            </w:pPr>
            <w:r w:rsidRPr="001F6812">
              <w:rPr>
                <w:i/>
                <w:iCs/>
                <w:sz w:val="28"/>
                <w:szCs w:val="28"/>
              </w:rPr>
              <w:t>FP</w:t>
            </w:r>
          </w:p>
        </w:tc>
        <w:tc>
          <w:tcPr>
            <w:tcW w:w="1485" w:type="dxa"/>
            <w:shd w:val="clear" w:color="auto" w:fill="E5DFEC" w:themeFill="accent4" w:themeFillTint="33"/>
          </w:tcPr>
          <w:p w14:paraId="7FD020FD" w14:textId="77777777" w:rsidR="00FB1D0A" w:rsidRPr="001F6812" w:rsidRDefault="00864123" w:rsidP="00BA06F0">
            <w:pPr>
              <w:rPr>
                <w:i/>
                <w:iCs/>
                <w:sz w:val="28"/>
                <w:szCs w:val="28"/>
              </w:rPr>
            </w:pPr>
            <w:r>
              <w:rPr>
                <w:i/>
                <w:iCs/>
                <w:sz w:val="28"/>
                <w:szCs w:val="28"/>
              </w:rPr>
              <w:t>Resources</w:t>
            </w:r>
          </w:p>
        </w:tc>
      </w:tr>
      <w:tr w:rsidR="0035746B" w14:paraId="31C20C63" w14:textId="77777777" w:rsidTr="003C0DF4">
        <w:trPr>
          <w:trHeight w:val="719"/>
        </w:trPr>
        <w:tc>
          <w:tcPr>
            <w:tcW w:w="2286" w:type="dxa"/>
            <w:tcBorders>
              <w:top w:val="dotted" w:sz="4" w:space="0" w:color="auto"/>
              <w:left w:val="single" w:sz="4" w:space="0" w:color="auto"/>
              <w:bottom w:val="dotted" w:sz="4" w:space="0" w:color="auto"/>
              <w:right w:val="dotted" w:sz="4" w:space="0" w:color="auto"/>
            </w:tcBorders>
          </w:tcPr>
          <w:p w14:paraId="6D720AFC" w14:textId="77777777" w:rsidR="00FB1D0A" w:rsidRPr="00C7009D" w:rsidRDefault="00FB1D0A" w:rsidP="00C0168F">
            <w:r>
              <w:t>1. Legal analysis/policy paper on the impact of the economic separation of WB and Gaza</w:t>
            </w:r>
          </w:p>
        </w:tc>
        <w:tc>
          <w:tcPr>
            <w:tcW w:w="1556" w:type="dxa"/>
            <w:tcBorders>
              <w:top w:val="dotted" w:sz="4" w:space="0" w:color="auto"/>
              <w:left w:val="single" w:sz="4" w:space="0" w:color="auto"/>
              <w:bottom w:val="dotted" w:sz="4" w:space="0" w:color="auto"/>
              <w:right w:val="dotted" w:sz="4" w:space="0" w:color="auto"/>
            </w:tcBorders>
          </w:tcPr>
          <w:p w14:paraId="4B1C697F" w14:textId="77777777" w:rsidR="00FB1D0A" w:rsidRPr="00C7009D" w:rsidRDefault="00DB423A" w:rsidP="00C0168F">
            <w:r>
              <w:t>Sub-objective 2, mid-term, strategic</w:t>
            </w:r>
          </w:p>
        </w:tc>
        <w:tc>
          <w:tcPr>
            <w:tcW w:w="2118" w:type="dxa"/>
            <w:tcBorders>
              <w:top w:val="dotted" w:sz="4" w:space="0" w:color="auto"/>
              <w:left w:val="dotted" w:sz="4" w:space="0" w:color="auto"/>
              <w:bottom w:val="dotted" w:sz="4" w:space="0" w:color="auto"/>
              <w:right w:val="dotted" w:sz="4" w:space="0" w:color="auto"/>
            </w:tcBorders>
          </w:tcPr>
          <w:p w14:paraId="1C080208" w14:textId="77777777" w:rsidR="00FB1D0A" w:rsidRPr="00C7009D" w:rsidRDefault="00FB1D0A" w:rsidP="00BA06F0">
            <w:r>
              <w:t>Challenge the Separation Policy and increase donor awareness to the fact that Gaza and WB are legally one territorial entity</w:t>
            </w:r>
          </w:p>
        </w:tc>
        <w:tc>
          <w:tcPr>
            <w:tcW w:w="2932" w:type="dxa"/>
            <w:tcBorders>
              <w:top w:val="dotted" w:sz="4" w:space="0" w:color="auto"/>
              <w:left w:val="dotted" w:sz="4" w:space="0" w:color="auto"/>
              <w:bottom w:val="dotted" w:sz="4" w:space="0" w:color="auto"/>
              <w:right w:val="dotted" w:sz="4" w:space="0" w:color="auto"/>
            </w:tcBorders>
          </w:tcPr>
          <w:p w14:paraId="7A42BF06" w14:textId="77777777" w:rsidR="00FB1D0A" w:rsidRPr="00C7009D" w:rsidRDefault="00FB1D0A" w:rsidP="00BA06F0">
            <w:r>
              <w:t>Donors, decision makers in EU and US</w:t>
            </w:r>
          </w:p>
        </w:tc>
        <w:tc>
          <w:tcPr>
            <w:tcW w:w="1800" w:type="dxa"/>
            <w:tcBorders>
              <w:top w:val="dotted" w:sz="4" w:space="0" w:color="auto"/>
              <w:left w:val="dotted" w:sz="4" w:space="0" w:color="auto"/>
              <w:bottom w:val="dotted" w:sz="4" w:space="0" w:color="auto"/>
            </w:tcBorders>
          </w:tcPr>
          <w:p w14:paraId="6DA74C60" w14:textId="77777777" w:rsidR="00FB1D0A" w:rsidRPr="00C7009D" w:rsidRDefault="00DB423A" w:rsidP="00096EA8">
            <w:r>
              <w:t>December</w:t>
            </w:r>
          </w:p>
        </w:tc>
        <w:tc>
          <w:tcPr>
            <w:tcW w:w="1302" w:type="dxa"/>
            <w:shd w:val="clear" w:color="auto" w:fill="FFFFFF" w:themeFill="background1"/>
          </w:tcPr>
          <w:p w14:paraId="462A012D" w14:textId="77777777" w:rsidR="00FB1D0A" w:rsidRPr="00C7009D" w:rsidRDefault="0035746B" w:rsidP="00BA06F0">
            <w:r>
              <w:t>NRC?</w:t>
            </w:r>
          </w:p>
        </w:tc>
        <w:tc>
          <w:tcPr>
            <w:tcW w:w="1485" w:type="dxa"/>
            <w:shd w:val="clear" w:color="auto" w:fill="FFFFFF" w:themeFill="background1"/>
          </w:tcPr>
          <w:p w14:paraId="547BF064" w14:textId="77777777" w:rsidR="00FB1D0A" w:rsidRPr="00C7009D" w:rsidRDefault="00DB423A" w:rsidP="00BA06F0">
            <w:r>
              <w:t>AIDA can pay for printing, translation from  SDC budget, needs capital level support for distribution, lobby meetings</w:t>
            </w:r>
          </w:p>
        </w:tc>
      </w:tr>
      <w:tr w:rsidR="0035746B" w14:paraId="2E566EB0" w14:textId="77777777" w:rsidTr="003C0DF4">
        <w:trPr>
          <w:trHeight w:val="844"/>
        </w:trPr>
        <w:tc>
          <w:tcPr>
            <w:tcW w:w="2286" w:type="dxa"/>
            <w:tcBorders>
              <w:top w:val="dotted" w:sz="4" w:space="0" w:color="auto"/>
              <w:left w:val="single" w:sz="4" w:space="0" w:color="auto"/>
              <w:bottom w:val="dotted" w:sz="4" w:space="0" w:color="auto"/>
              <w:right w:val="dotted" w:sz="4" w:space="0" w:color="auto"/>
            </w:tcBorders>
          </w:tcPr>
          <w:p w14:paraId="7C62068E" w14:textId="77777777" w:rsidR="00FB1D0A" w:rsidRPr="00C7009D" w:rsidRDefault="00FB1D0A" w:rsidP="00C0168F">
            <w:r>
              <w:lastRenderedPageBreak/>
              <w:t>2. Complex infographic and Twitter campaign/Thunderclap explaining the impact of the separation policy on students,  patients, and the economy</w:t>
            </w:r>
          </w:p>
        </w:tc>
        <w:tc>
          <w:tcPr>
            <w:tcW w:w="1556" w:type="dxa"/>
            <w:tcBorders>
              <w:top w:val="dotted" w:sz="4" w:space="0" w:color="auto"/>
              <w:left w:val="single" w:sz="4" w:space="0" w:color="auto"/>
              <w:bottom w:val="dotted" w:sz="4" w:space="0" w:color="auto"/>
              <w:right w:val="dotted" w:sz="4" w:space="0" w:color="auto"/>
            </w:tcBorders>
          </w:tcPr>
          <w:p w14:paraId="57A2788F" w14:textId="77777777" w:rsidR="00FB1D0A" w:rsidRPr="00C7009D" w:rsidRDefault="00DB423A" w:rsidP="00C0168F">
            <w:r>
              <w:t>Sub-objective 1, 2, mid-term, strategic</w:t>
            </w:r>
          </w:p>
        </w:tc>
        <w:tc>
          <w:tcPr>
            <w:tcW w:w="2118" w:type="dxa"/>
            <w:tcBorders>
              <w:top w:val="dotted" w:sz="4" w:space="0" w:color="auto"/>
              <w:left w:val="dotted" w:sz="4" w:space="0" w:color="auto"/>
              <w:bottom w:val="dotted" w:sz="4" w:space="0" w:color="auto"/>
              <w:right w:val="dotted" w:sz="4" w:space="0" w:color="auto"/>
            </w:tcBorders>
          </w:tcPr>
          <w:p w14:paraId="0EF7F346" w14:textId="77777777" w:rsidR="00FB1D0A" w:rsidRPr="00C7009D" w:rsidRDefault="00FB1D0A" w:rsidP="00BD780D">
            <w:r>
              <w:t>Raise public awareness to the impact of the blockade and the separation policy on the ability of Palestinians to access health, education, and livelihoods</w:t>
            </w:r>
          </w:p>
        </w:tc>
        <w:tc>
          <w:tcPr>
            <w:tcW w:w="2932" w:type="dxa"/>
            <w:tcBorders>
              <w:top w:val="dotted" w:sz="4" w:space="0" w:color="auto"/>
              <w:left w:val="dotted" w:sz="4" w:space="0" w:color="auto"/>
              <w:bottom w:val="dotted" w:sz="4" w:space="0" w:color="auto"/>
              <w:right w:val="dotted" w:sz="4" w:space="0" w:color="auto"/>
            </w:tcBorders>
          </w:tcPr>
          <w:p w14:paraId="593C786E" w14:textId="77777777" w:rsidR="00FB1D0A" w:rsidRPr="00C7009D" w:rsidRDefault="00FB1D0A" w:rsidP="00BA06F0">
            <w:r>
              <w:t>General publics in EU and US</w:t>
            </w:r>
          </w:p>
        </w:tc>
        <w:tc>
          <w:tcPr>
            <w:tcW w:w="1800" w:type="dxa"/>
            <w:tcBorders>
              <w:top w:val="dotted" w:sz="4" w:space="0" w:color="auto"/>
              <w:left w:val="dotted" w:sz="4" w:space="0" w:color="auto"/>
              <w:bottom w:val="dotted" w:sz="4" w:space="0" w:color="auto"/>
            </w:tcBorders>
          </w:tcPr>
          <w:p w14:paraId="7FE4F00B" w14:textId="77777777" w:rsidR="00FB1D0A" w:rsidRPr="00C7009D" w:rsidRDefault="00FB1D0A" w:rsidP="00BA06F0">
            <w:r>
              <w:t>June</w:t>
            </w:r>
          </w:p>
        </w:tc>
        <w:tc>
          <w:tcPr>
            <w:tcW w:w="1302" w:type="dxa"/>
            <w:shd w:val="clear" w:color="auto" w:fill="FFFFFF" w:themeFill="background1"/>
          </w:tcPr>
          <w:p w14:paraId="0CD9DF45" w14:textId="77777777" w:rsidR="00FB1D0A" w:rsidRPr="00C7009D" w:rsidRDefault="00DB423A" w:rsidP="00BA06F0">
            <w:r>
              <w:t>AIDA</w:t>
            </w:r>
          </w:p>
        </w:tc>
        <w:tc>
          <w:tcPr>
            <w:tcW w:w="1485" w:type="dxa"/>
            <w:shd w:val="clear" w:color="auto" w:fill="FFFFFF" w:themeFill="background1"/>
          </w:tcPr>
          <w:p w14:paraId="1D57048E" w14:textId="77777777" w:rsidR="00FB1D0A" w:rsidRPr="00C7009D" w:rsidRDefault="0035746B" w:rsidP="00BA06F0">
            <w:r>
              <w:t xml:space="preserve">Need $5000- USD </w:t>
            </w:r>
            <w:r w:rsidR="00DB423A">
              <w:t>Possibility that can be funded through ECHO funds, would otherwise need individual member contributions, need capital and in-country support for distribution</w:t>
            </w:r>
          </w:p>
        </w:tc>
      </w:tr>
      <w:tr w:rsidR="0035746B" w14:paraId="197440FB" w14:textId="77777777" w:rsidTr="003C0DF4">
        <w:trPr>
          <w:trHeight w:val="728"/>
        </w:trPr>
        <w:tc>
          <w:tcPr>
            <w:tcW w:w="2286" w:type="dxa"/>
            <w:tcBorders>
              <w:top w:val="dotted" w:sz="4" w:space="0" w:color="auto"/>
              <w:left w:val="single" w:sz="4" w:space="0" w:color="auto"/>
              <w:bottom w:val="single" w:sz="4" w:space="0" w:color="auto"/>
              <w:right w:val="dotted" w:sz="4" w:space="0" w:color="auto"/>
            </w:tcBorders>
          </w:tcPr>
          <w:p w14:paraId="44E12B22" w14:textId="77777777" w:rsidR="00FB1D0A" w:rsidRPr="00C7009D" w:rsidRDefault="00FB1D0A" w:rsidP="00C0168F">
            <w:r>
              <w:t>3. Multi media</w:t>
            </w:r>
            <w:r w:rsidR="0035746B">
              <w:t>/web</w:t>
            </w:r>
            <w:r>
              <w:t xml:space="preserve"> piece on the impact of fragmentation between Gaza and WB</w:t>
            </w:r>
          </w:p>
        </w:tc>
        <w:tc>
          <w:tcPr>
            <w:tcW w:w="1556" w:type="dxa"/>
            <w:tcBorders>
              <w:top w:val="dotted" w:sz="4" w:space="0" w:color="auto"/>
              <w:left w:val="single" w:sz="4" w:space="0" w:color="auto"/>
              <w:bottom w:val="single" w:sz="4" w:space="0" w:color="auto"/>
              <w:right w:val="dotted" w:sz="4" w:space="0" w:color="auto"/>
            </w:tcBorders>
          </w:tcPr>
          <w:p w14:paraId="0D407EFD" w14:textId="77777777" w:rsidR="00FB1D0A" w:rsidRPr="00C7009D" w:rsidRDefault="00DB423A" w:rsidP="00C0168F">
            <w:r>
              <w:t>Sub-objective 1, 2, mid-term, strategic</w:t>
            </w:r>
          </w:p>
        </w:tc>
        <w:tc>
          <w:tcPr>
            <w:tcW w:w="2118" w:type="dxa"/>
            <w:tcBorders>
              <w:top w:val="dotted" w:sz="4" w:space="0" w:color="auto"/>
              <w:left w:val="dotted" w:sz="4" w:space="0" w:color="auto"/>
              <w:bottom w:val="single" w:sz="4" w:space="0" w:color="auto"/>
              <w:right w:val="dotted" w:sz="4" w:space="0" w:color="auto"/>
            </w:tcBorders>
          </w:tcPr>
          <w:p w14:paraId="7E5455E5" w14:textId="77777777" w:rsidR="00FB1D0A" w:rsidRPr="00C7009D" w:rsidRDefault="00FB1D0A" w:rsidP="00BA06F0">
            <w:r>
              <w:t>Raise public awareness to the impact of the blockade and the separation policy on Palestinians in Gaza, EJ, and the rest of the West Bank</w:t>
            </w:r>
          </w:p>
        </w:tc>
        <w:tc>
          <w:tcPr>
            <w:tcW w:w="2932" w:type="dxa"/>
            <w:tcBorders>
              <w:top w:val="dotted" w:sz="4" w:space="0" w:color="auto"/>
              <w:left w:val="dotted" w:sz="4" w:space="0" w:color="auto"/>
              <w:bottom w:val="single" w:sz="4" w:space="0" w:color="auto"/>
              <w:right w:val="dotted" w:sz="4" w:space="0" w:color="auto"/>
            </w:tcBorders>
          </w:tcPr>
          <w:p w14:paraId="047035EB" w14:textId="77777777" w:rsidR="00FB1D0A" w:rsidRPr="00C7009D" w:rsidRDefault="00FB1D0A" w:rsidP="00BA06F0">
            <w:r>
              <w:t>General publics in EU and US</w:t>
            </w:r>
          </w:p>
        </w:tc>
        <w:tc>
          <w:tcPr>
            <w:tcW w:w="1800" w:type="dxa"/>
            <w:tcBorders>
              <w:top w:val="dotted" w:sz="4" w:space="0" w:color="auto"/>
              <w:left w:val="dotted" w:sz="4" w:space="0" w:color="auto"/>
              <w:bottom w:val="single" w:sz="4" w:space="0" w:color="auto"/>
            </w:tcBorders>
          </w:tcPr>
          <w:p w14:paraId="5FD1386F" w14:textId="77777777" w:rsidR="00FB1D0A" w:rsidRPr="00C7009D" w:rsidRDefault="00FB1D0A" w:rsidP="00BA06F0">
            <w:r>
              <w:t>November</w:t>
            </w:r>
          </w:p>
        </w:tc>
        <w:tc>
          <w:tcPr>
            <w:tcW w:w="1302" w:type="dxa"/>
            <w:shd w:val="clear" w:color="auto" w:fill="FFFFFF" w:themeFill="background1"/>
          </w:tcPr>
          <w:p w14:paraId="786EDFC6" w14:textId="77777777" w:rsidR="00FB1D0A" w:rsidRPr="00C7009D" w:rsidRDefault="00DB423A" w:rsidP="00BA06F0">
            <w:r>
              <w:t>AIDA</w:t>
            </w:r>
          </w:p>
        </w:tc>
        <w:tc>
          <w:tcPr>
            <w:tcW w:w="1485" w:type="dxa"/>
            <w:shd w:val="clear" w:color="auto" w:fill="FFFFFF" w:themeFill="background1"/>
          </w:tcPr>
          <w:p w14:paraId="508BACE2" w14:textId="77777777" w:rsidR="00FB1D0A" w:rsidRPr="00C7009D" w:rsidRDefault="0035746B" w:rsidP="00BA06F0">
            <w:r>
              <w:t xml:space="preserve">Need $8000 USD </w:t>
            </w:r>
            <w:r w:rsidR="00DB423A">
              <w:t>Possibility that can be funded through ECHO funds, would otherwise need individual member contributions, need capital and in-country support for distribution</w:t>
            </w:r>
          </w:p>
        </w:tc>
      </w:tr>
      <w:tr w:rsidR="0035746B" w14:paraId="4C2C4804" w14:textId="77777777" w:rsidTr="003C0DF4">
        <w:trPr>
          <w:trHeight w:val="1250"/>
        </w:trPr>
        <w:tc>
          <w:tcPr>
            <w:tcW w:w="2286" w:type="dxa"/>
            <w:tcBorders>
              <w:top w:val="dotted" w:sz="4" w:space="0" w:color="auto"/>
              <w:left w:val="single" w:sz="4" w:space="0" w:color="auto"/>
              <w:bottom w:val="single" w:sz="4" w:space="0" w:color="auto"/>
              <w:right w:val="dotted" w:sz="4" w:space="0" w:color="auto"/>
            </w:tcBorders>
          </w:tcPr>
          <w:p w14:paraId="1BED9FB9" w14:textId="77777777" w:rsidR="00FB1D0A" w:rsidRPr="00C7009D" w:rsidRDefault="00FB1D0A" w:rsidP="00A8740A">
            <w:r>
              <w:lastRenderedPageBreak/>
              <w:t xml:space="preserve">4. Reactive policy briefs, lobby letters, statements </w:t>
            </w:r>
          </w:p>
        </w:tc>
        <w:tc>
          <w:tcPr>
            <w:tcW w:w="1556" w:type="dxa"/>
            <w:tcBorders>
              <w:top w:val="dotted" w:sz="4" w:space="0" w:color="auto"/>
              <w:left w:val="single" w:sz="4" w:space="0" w:color="auto"/>
              <w:bottom w:val="single" w:sz="4" w:space="0" w:color="auto"/>
              <w:right w:val="dotted" w:sz="4" w:space="0" w:color="auto"/>
            </w:tcBorders>
          </w:tcPr>
          <w:p w14:paraId="06153B13" w14:textId="77777777" w:rsidR="00FB1D0A" w:rsidRPr="00C7009D" w:rsidRDefault="00DB423A" w:rsidP="00A8740A">
            <w:r>
              <w:t>Sub-objectives 1 &amp; 2</w:t>
            </w:r>
          </w:p>
        </w:tc>
        <w:tc>
          <w:tcPr>
            <w:tcW w:w="2118" w:type="dxa"/>
            <w:tcBorders>
              <w:top w:val="dotted" w:sz="4" w:space="0" w:color="auto"/>
              <w:left w:val="dotted" w:sz="4" w:space="0" w:color="auto"/>
              <w:bottom w:val="single" w:sz="4" w:space="0" w:color="auto"/>
              <w:right w:val="dotted" w:sz="4" w:space="0" w:color="auto"/>
            </w:tcBorders>
          </w:tcPr>
          <w:p w14:paraId="77880A96" w14:textId="77777777" w:rsidR="00FB1D0A" w:rsidRPr="00957149" w:rsidRDefault="00FB1D0A" w:rsidP="00BA06F0">
            <w:r>
              <w:t>React timely to incidents that impede our ability to achieve our objectives</w:t>
            </w:r>
          </w:p>
        </w:tc>
        <w:tc>
          <w:tcPr>
            <w:tcW w:w="2932" w:type="dxa"/>
            <w:tcBorders>
              <w:top w:val="dotted" w:sz="4" w:space="0" w:color="auto"/>
              <w:left w:val="dotted" w:sz="4" w:space="0" w:color="auto"/>
              <w:bottom w:val="single" w:sz="4" w:space="0" w:color="auto"/>
              <w:right w:val="dotted" w:sz="4" w:space="0" w:color="auto"/>
            </w:tcBorders>
          </w:tcPr>
          <w:p w14:paraId="390B0FA8" w14:textId="77777777" w:rsidR="00FB1D0A" w:rsidRPr="00957149" w:rsidRDefault="00FB1D0A" w:rsidP="00BA06F0">
            <w:r>
              <w:t>Diplomats and decision makers in EU and US</w:t>
            </w:r>
          </w:p>
        </w:tc>
        <w:tc>
          <w:tcPr>
            <w:tcW w:w="1800" w:type="dxa"/>
            <w:tcBorders>
              <w:top w:val="dotted" w:sz="4" w:space="0" w:color="auto"/>
              <w:left w:val="dotted" w:sz="4" w:space="0" w:color="auto"/>
              <w:bottom w:val="single" w:sz="4" w:space="0" w:color="auto"/>
            </w:tcBorders>
          </w:tcPr>
          <w:p w14:paraId="786480E9" w14:textId="77777777" w:rsidR="00FB1D0A" w:rsidRPr="00C7009D" w:rsidRDefault="00DB423A" w:rsidP="00092609">
            <w:r>
              <w:t>As needed</w:t>
            </w:r>
          </w:p>
        </w:tc>
        <w:tc>
          <w:tcPr>
            <w:tcW w:w="1302" w:type="dxa"/>
            <w:shd w:val="clear" w:color="auto" w:fill="FFFFFF" w:themeFill="background1"/>
          </w:tcPr>
          <w:p w14:paraId="42B26587" w14:textId="77777777" w:rsidR="00FB1D0A" w:rsidRPr="003C0DF4" w:rsidRDefault="00DB423A" w:rsidP="00BA06F0">
            <w:r w:rsidRPr="003C0DF4">
              <w:t>AIDA</w:t>
            </w:r>
          </w:p>
        </w:tc>
        <w:tc>
          <w:tcPr>
            <w:tcW w:w="1485" w:type="dxa"/>
            <w:shd w:val="clear" w:color="auto" w:fill="FFFFFF" w:themeFill="background1"/>
          </w:tcPr>
          <w:p w14:paraId="50EDC1AF" w14:textId="77777777" w:rsidR="00FB1D0A" w:rsidRPr="003C0DF4" w:rsidRDefault="00DB423A" w:rsidP="00BA06F0">
            <w:r w:rsidRPr="003C0DF4">
              <w:t>No monetary costs, needs individual member support for distribution and lobby</w:t>
            </w:r>
          </w:p>
        </w:tc>
      </w:tr>
      <w:tr w:rsidR="0035746B" w14:paraId="321DD34C" w14:textId="77777777" w:rsidTr="003C0DF4">
        <w:trPr>
          <w:trHeight w:val="1250"/>
        </w:trPr>
        <w:tc>
          <w:tcPr>
            <w:tcW w:w="2286" w:type="dxa"/>
            <w:tcBorders>
              <w:top w:val="dotted" w:sz="4" w:space="0" w:color="auto"/>
              <w:left w:val="single" w:sz="4" w:space="0" w:color="auto"/>
              <w:bottom w:val="single" w:sz="4" w:space="0" w:color="auto"/>
              <w:right w:val="dotted" w:sz="4" w:space="0" w:color="auto"/>
            </w:tcBorders>
          </w:tcPr>
          <w:p w14:paraId="59D39B71" w14:textId="77777777" w:rsidR="00FB1D0A" w:rsidRPr="00C7009D" w:rsidRDefault="00DB423A" w:rsidP="00BA06F0">
            <w:r>
              <w:t>5. Regular Q and A, Factsheets, PQs</w:t>
            </w:r>
          </w:p>
        </w:tc>
        <w:tc>
          <w:tcPr>
            <w:tcW w:w="1556" w:type="dxa"/>
            <w:tcBorders>
              <w:top w:val="dotted" w:sz="4" w:space="0" w:color="auto"/>
              <w:left w:val="single" w:sz="4" w:space="0" w:color="auto"/>
              <w:bottom w:val="single" w:sz="4" w:space="0" w:color="auto"/>
              <w:right w:val="dotted" w:sz="4" w:space="0" w:color="auto"/>
            </w:tcBorders>
          </w:tcPr>
          <w:p w14:paraId="25FF1DA9" w14:textId="77777777" w:rsidR="00FB1D0A" w:rsidRPr="00C7009D" w:rsidRDefault="00DB423A" w:rsidP="00BA06F0">
            <w:r>
              <w:t xml:space="preserve">Sub-objective 1 &amp;2 </w:t>
            </w:r>
          </w:p>
        </w:tc>
        <w:tc>
          <w:tcPr>
            <w:tcW w:w="2118" w:type="dxa"/>
            <w:tcBorders>
              <w:top w:val="dotted" w:sz="4" w:space="0" w:color="auto"/>
              <w:left w:val="dotted" w:sz="4" w:space="0" w:color="auto"/>
              <w:bottom w:val="single" w:sz="4" w:space="0" w:color="auto"/>
              <w:right w:val="dotted" w:sz="4" w:space="0" w:color="auto"/>
            </w:tcBorders>
          </w:tcPr>
          <w:p w14:paraId="4721AD8B" w14:textId="77777777" w:rsidR="00FB1D0A" w:rsidRPr="00DB423A" w:rsidRDefault="00DB423A" w:rsidP="00DB423A">
            <w:r>
              <w:t>Coordination of messages/asks in country and at capital level</w:t>
            </w:r>
          </w:p>
        </w:tc>
        <w:tc>
          <w:tcPr>
            <w:tcW w:w="2932" w:type="dxa"/>
            <w:tcBorders>
              <w:top w:val="dotted" w:sz="4" w:space="0" w:color="auto"/>
              <w:left w:val="dotted" w:sz="4" w:space="0" w:color="auto"/>
              <w:bottom w:val="single" w:sz="4" w:space="0" w:color="auto"/>
              <w:right w:val="dotted" w:sz="4" w:space="0" w:color="auto"/>
            </w:tcBorders>
          </w:tcPr>
          <w:p w14:paraId="720B7C78" w14:textId="77777777" w:rsidR="00FB1D0A" w:rsidRPr="00957149" w:rsidRDefault="00DB423A" w:rsidP="00BA06F0">
            <w:r>
              <w:t>Diplomats and decision makers in EU and US</w:t>
            </w:r>
          </w:p>
        </w:tc>
        <w:tc>
          <w:tcPr>
            <w:tcW w:w="1800" w:type="dxa"/>
            <w:tcBorders>
              <w:top w:val="dotted" w:sz="4" w:space="0" w:color="auto"/>
              <w:left w:val="dotted" w:sz="4" w:space="0" w:color="auto"/>
              <w:bottom w:val="single" w:sz="4" w:space="0" w:color="auto"/>
            </w:tcBorders>
          </w:tcPr>
          <w:p w14:paraId="3DB2F2AB" w14:textId="77777777" w:rsidR="00FB1D0A" w:rsidRPr="00C7009D" w:rsidRDefault="00DB423A" w:rsidP="00BA06F0">
            <w:r>
              <w:t>Quarterly</w:t>
            </w:r>
          </w:p>
        </w:tc>
        <w:tc>
          <w:tcPr>
            <w:tcW w:w="1302" w:type="dxa"/>
            <w:tcBorders>
              <w:bottom w:val="single" w:sz="4" w:space="0" w:color="auto"/>
            </w:tcBorders>
            <w:shd w:val="clear" w:color="auto" w:fill="FFFFFF" w:themeFill="background1"/>
          </w:tcPr>
          <w:p w14:paraId="15145354" w14:textId="77777777" w:rsidR="00FB1D0A" w:rsidRPr="003C0DF4" w:rsidRDefault="00DB423A" w:rsidP="00BA06F0">
            <w:r w:rsidRPr="003C0DF4">
              <w:t>AIDA</w:t>
            </w:r>
          </w:p>
        </w:tc>
        <w:tc>
          <w:tcPr>
            <w:tcW w:w="1485" w:type="dxa"/>
            <w:tcBorders>
              <w:bottom w:val="single" w:sz="4" w:space="0" w:color="auto"/>
            </w:tcBorders>
            <w:shd w:val="clear" w:color="auto" w:fill="FFFFFF" w:themeFill="background1"/>
          </w:tcPr>
          <w:p w14:paraId="47CD82C0" w14:textId="77777777" w:rsidR="00FB1D0A" w:rsidRPr="003C0DF4" w:rsidRDefault="003C0DF4" w:rsidP="00BA06F0">
            <w:r w:rsidRPr="003C0DF4">
              <w:t>No monetary costs, needs individual member support for distribution, media briefings, and lobby</w:t>
            </w:r>
          </w:p>
        </w:tc>
      </w:tr>
      <w:tr w:rsidR="003C0DF4" w14:paraId="15B7ED94" w14:textId="77777777" w:rsidTr="003C0DF4">
        <w:trPr>
          <w:trHeight w:val="1250"/>
        </w:trPr>
        <w:tc>
          <w:tcPr>
            <w:tcW w:w="2286" w:type="dxa"/>
            <w:tcBorders>
              <w:top w:val="dotted" w:sz="4" w:space="0" w:color="auto"/>
              <w:left w:val="single" w:sz="4" w:space="0" w:color="auto"/>
              <w:bottom w:val="single" w:sz="4" w:space="0" w:color="auto"/>
              <w:right w:val="dotted" w:sz="4" w:space="0" w:color="auto"/>
            </w:tcBorders>
          </w:tcPr>
          <w:p w14:paraId="3D3FD264" w14:textId="77777777" w:rsidR="003C0DF4" w:rsidRDefault="003C0DF4" w:rsidP="00BA06F0">
            <w:r>
              <w:t>6. Field visits for journalists and diplomats</w:t>
            </w:r>
          </w:p>
        </w:tc>
        <w:tc>
          <w:tcPr>
            <w:tcW w:w="1556" w:type="dxa"/>
            <w:tcBorders>
              <w:top w:val="dotted" w:sz="4" w:space="0" w:color="auto"/>
              <w:left w:val="single" w:sz="4" w:space="0" w:color="auto"/>
              <w:bottom w:val="single" w:sz="4" w:space="0" w:color="auto"/>
              <w:right w:val="dotted" w:sz="4" w:space="0" w:color="auto"/>
            </w:tcBorders>
          </w:tcPr>
          <w:p w14:paraId="5477209E" w14:textId="77777777" w:rsidR="003C0DF4" w:rsidRDefault="003C0DF4" w:rsidP="00BA06F0">
            <w:r>
              <w:t>Sub-objective 1&amp;2</w:t>
            </w:r>
          </w:p>
        </w:tc>
        <w:tc>
          <w:tcPr>
            <w:tcW w:w="2118" w:type="dxa"/>
            <w:tcBorders>
              <w:top w:val="dotted" w:sz="4" w:space="0" w:color="auto"/>
              <w:left w:val="dotted" w:sz="4" w:space="0" w:color="auto"/>
              <w:bottom w:val="single" w:sz="4" w:space="0" w:color="auto"/>
              <w:right w:val="dotted" w:sz="4" w:space="0" w:color="auto"/>
            </w:tcBorders>
          </w:tcPr>
          <w:p w14:paraId="792B2284" w14:textId="77777777" w:rsidR="003C0DF4" w:rsidRDefault="003C0DF4" w:rsidP="00DB423A">
            <w:r>
              <w:t>Influence general publics and decision makers by giving concrete recommendations and examples</w:t>
            </w:r>
          </w:p>
        </w:tc>
        <w:tc>
          <w:tcPr>
            <w:tcW w:w="2932" w:type="dxa"/>
            <w:tcBorders>
              <w:top w:val="dotted" w:sz="4" w:space="0" w:color="auto"/>
              <w:left w:val="dotted" w:sz="4" w:space="0" w:color="auto"/>
              <w:bottom w:val="single" w:sz="4" w:space="0" w:color="auto"/>
              <w:right w:val="dotted" w:sz="4" w:space="0" w:color="auto"/>
            </w:tcBorders>
          </w:tcPr>
          <w:p w14:paraId="06D808FC" w14:textId="77777777" w:rsidR="003C0DF4" w:rsidRDefault="003C0DF4" w:rsidP="00BA06F0">
            <w:r>
              <w:t>Diplomats and journalists in country</w:t>
            </w:r>
          </w:p>
        </w:tc>
        <w:tc>
          <w:tcPr>
            <w:tcW w:w="1800" w:type="dxa"/>
            <w:tcBorders>
              <w:top w:val="dotted" w:sz="4" w:space="0" w:color="auto"/>
              <w:left w:val="dotted" w:sz="4" w:space="0" w:color="auto"/>
              <w:bottom w:val="single" w:sz="4" w:space="0" w:color="auto"/>
            </w:tcBorders>
          </w:tcPr>
          <w:p w14:paraId="28DD55BC" w14:textId="77777777" w:rsidR="003C0DF4" w:rsidRDefault="003C0DF4" w:rsidP="00BA06F0">
            <w:r>
              <w:t>Quarterly</w:t>
            </w:r>
          </w:p>
        </w:tc>
        <w:tc>
          <w:tcPr>
            <w:tcW w:w="1302" w:type="dxa"/>
            <w:tcBorders>
              <w:bottom w:val="single" w:sz="4" w:space="0" w:color="auto"/>
            </w:tcBorders>
            <w:shd w:val="clear" w:color="auto" w:fill="FFFFFF" w:themeFill="background1"/>
          </w:tcPr>
          <w:p w14:paraId="4E2ECAE3" w14:textId="77777777" w:rsidR="003C0DF4" w:rsidRPr="003C0DF4" w:rsidRDefault="003C0DF4" w:rsidP="00BA06F0"/>
        </w:tc>
        <w:tc>
          <w:tcPr>
            <w:tcW w:w="1485" w:type="dxa"/>
            <w:tcBorders>
              <w:bottom w:val="single" w:sz="4" w:space="0" w:color="auto"/>
            </w:tcBorders>
            <w:shd w:val="clear" w:color="auto" w:fill="FFFFFF" w:themeFill="background1"/>
          </w:tcPr>
          <w:p w14:paraId="742A4C24" w14:textId="77777777" w:rsidR="003C0DF4" w:rsidRPr="003C0DF4" w:rsidRDefault="003C0DF4" w:rsidP="00BA06F0">
            <w:r>
              <w:t>No  monetary costs, needs programmatic and advocacy support of members</w:t>
            </w:r>
          </w:p>
        </w:tc>
      </w:tr>
      <w:tr w:rsidR="00BE0787" w14:paraId="5F874844" w14:textId="77777777">
        <w:trPr>
          <w:trHeight w:val="728"/>
        </w:trPr>
        <w:tc>
          <w:tcPr>
            <w:tcW w:w="13479" w:type="dxa"/>
            <w:gridSpan w:val="7"/>
            <w:tcBorders>
              <w:top w:val="single" w:sz="4" w:space="0" w:color="auto"/>
              <w:left w:val="single" w:sz="4" w:space="0" w:color="auto"/>
              <w:bottom w:val="single" w:sz="4" w:space="0" w:color="auto"/>
              <w:right w:val="single" w:sz="4" w:space="0" w:color="auto"/>
            </w:tcBorders>
          </w:tcPr>
          <w:p w14:paraId="4C21FAD7" w14:textId="77777777" w:rsidR="00BE0787" w:rsidRPr="00A90D64" w:rsidRDefault="00BE0787" w:rsidP="00BA06F0">
            <w:pPr>
              <w:pBdr>
                <w:top w:val="dashSmallGap" w:sz="4" w:space="1" w:color="auto"/>
                <w:left w:val="dashSmallGap" w:sz="4" w:space="4" w:color="auto"/>
                <w:bottom w:val="dashSmallGap" w:sz="4" w:space="1" w:color="auto"/>
                <w:right w:val="dashSmallGap" w:sz="4" w:space="4" w:color="auto"/>
              </w:pBdr>
              <w:shd w:val="clear" w:color="auto" w:fill="E5DFEC" w:themeFill="accent4" w:themeFillTint="33"/>
              <w:rPr>
                <w:b/>
                <w:bCs/>
                <w:sz w:val="28"/>
                <w:szCs w:val="28"/>
              </w:rPr>
            </w:pPr>
            <w:r>
              <w:rPr>
                <w:b/>
                <w:bCs/>
                <w:sz w:val="28"/>
                <w:szCs w:val="28"/>
              </w:rPr>
              <w:t>Indicators</w:t>
            </w:r>
            <w:r w:rsidR="003C0DF4">
              <w:rPr>
                <w:b/>
                <w:bCs/>
                <w:sz w:val="28"/>
                <w:szCs w:val="28"/>
              </w:rPr>
              <w:t xml:space="preserve"> for sub-objective 1</w:t>
            </w:r>
          </w:p>
          <w:p w14:paraId="4EA0ED29" w14:textId="77777777" w:rsidR="00BE0787" w:rsidRPr="00096EA8" w:rsidRDefault="003C0DF4" w:rsidP="001F6812">
            <w:pPr>
              <w:pStyle w:val="ListParagraph"/>
              <w:numPr>
                <w:ilvl w:val="0"/>
                <w:numId w:val="5"/>
              </w:numPr>
            </w:pPr>
            <w:r>
              <w:t xml:space="preserve"># of </w:t>
            </w:r>
            <w:r w:rsidR="00C0168F">
              <w:t xml:space="preserve">patients </w:t>
            </w:r>
            <w:r>
              <w:t>and students approved (as compared to 2013 and 2006)</w:t>
            </w:r>
          </w:p>
          <w:p w14:paraId="0EB71CAF" w14:textId="77777777" w:rsidR="003C0DF4" w:rsidRDefault="003C0DF4" w:rsidP="003C0DF4">
            <w:pPr>
              <w:pStyle w:val="ListParagraph"/>
              <w:numPr>
                <w:ilvl w:val="0"/>
                <w:numId w:val="5"/>
              </w:numPr>
            </w:pPr>
            <w:r>
              <w:t># of statements by donors/3</w:t>
            </w:r>
            <w:r w:rsidRPr="003C0DF4">
              <w:rPr>
                <w:vertAlign w:val="superscript"/>
              </w:rPr>
              <w:t>rd</w:t>
            </w:r>
            <w:r>
              <w:t xml:space="preserve"> states (as compared to 2013)</w:t>
            </w:r>
          </w:p>
          <w:p w14:paraId="21D4106F" w14:textId="77777777" w:rsidR="001F6812" w:rsidRPr="00C0168F" w:rsidRDefault="001F6812" w:rsidP="0035746B">
            <w:pPr>
              <w:pStyle w:val="ListParagraph"/>
            </w:pPr>
          </w:p>
        </w:tc>
      </w:tr>
      <w:tr w:rsidR="003C0DF4" w14:paraId="7A703DE0" w14:textId="77777777" w:rsidTr="0035746B">
        <w:trPr>
          <w:trHeight w:val="728"/>
        </w:trPr>
        <w:tc>
          <w:tcPr>
            <w:tcW w:w="13479"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3EC3FA7" w14:textId="77777777" w:rsidR="003C0DF4" w:rsidRDefault="003C0DF4" w:rsidP="00BA06F0">
            <w:pPr>
              <w:pBdr>
                <w:top w:val="dashSmallGap" w:sz="4" w:space="1" w:color="auto"/>
                <w:left w:val="dashSmallGap" w:sz="4" w:space="4" w:color="auto"/>
                <w:bottom w:val="dashSmallGap" w:sz="4" w:space="1" w:color="auto"/>
                <w:right w:val="dashSmallGap" w:sz="4" w:space="4" w:color="auto"/>
              </w:pBdr>
              <w:shd w:val="clear" w:color="auto" w:fill="E5DFEC" w:themeFill="accent4" w:themeFillTint="33"/>
              <w:rPr>
                <w:b/>
                <w:bCs/>
                <w:sz w:val="28"/>
                <w:szCs w:val="28"/>
              </w:rPr>
            </w:pPr>
            <w:r>
              <w:rPr>
                <w:b/>
                <w:bCs/>
                <w:sz w:val="28"/>
                <w:szCs w:val="28"/>
              </w:rPr>
              <w:t>Indicators for sub-objective 2</w:t>
            </w:r>
          </w:p>
          <w:p w14:paraId="7952D988" w14:textId="77777777" w:rsidR="002A4754" w:rsidRPr="0035746B" w:rsidRDefault="002A4754" w:rsidP="002A4754">
            <w:pPr>
              <w:pStyle w:val="ListParagraph"/>
              <w:numPr>
                <w:ilvl w:val="0"/>
                <w:numId w:val="24"/>
              </w:numPr>
              <w:pBdr>
                <w:top w:val="dashSmallGap" w:sz="4" w:space="1" w:color="auto"/>
                <w:left w:val="dashSmallGap" w:sz="4" w:space="4" w:color="auto"/>
                <w:bottom w:val="dashSmallGap" w:sz="4" w:space="1" w:color="auto"/>
                <w:right w:val="dashSmallGap" w:sz="4" w:space="4" w:color="auto"/>
              </w:pBdr>
              <w:shd w:val="clear" w:color="auto" w:fill="E5DFEC" w:themeFill="accent4" w:themeFillTint="33"/>
            </w:pPr>
            <w:r w:rsidRPr="0035746B">
              <w:t>Increased # of goods entering the West Bank from Gaza</w:t>
            </w:r>
          </w:p>
        </w:tc>
      </w:tr>
    </w:tbl>
    <w:p w14:paraId="3F02A3CD" w14:textId="77777777" w:rsidR="00BE0787" w:rsidRDefault="00BE0787" w:rsidP="00BE0787"/>
    <w:p w14:paraId="6352B8D3" w14:textId="77777777" w:rsidR="001E5B35" w:rsidRDefault="001E5B35"/>
    <w:sectPr w:rsidR="001E5B35" w:rsidSect="00A90D64">
      <w:footerReference w:type="default" r:id="rId8"/>
      <w:pgSz w:w="15840" w:h="12240" w:orient="landscape"/>
      <w:pgMar w:top="90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CC526" w14:textId="77777777" w:rsidR="004C2C8A" w:rsidRDefault="004C2C8A" w:rsidP="002A4754">
      <w:r>
        <w:separator/>
      </w:r>
    </w:p>
  </w:endnote>
  <w:endnote w:type="continuationSeparator" w:id="0">
    <w:p w14:paraId="63E7A912" w14:textId="77777777" w:rsidR="004C2C8A" w:rsidRDefault="004C2C8A" w:rsidP="002A4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416080"/>
      <w:docPartObj>
        <w:docPartGallery w:val="Page Numbers (Bottom of Page)"/>
        <w:docPartUnique/>
      </w:docPartObj>
    </w:sdtPr>
    <w:sdtEndPr>
      <w:rPr>
        <w:noProof/>
      </w:rPr>
    </w:sdtEndPr>
    <w:sdtContent>
      <w:p w14:paraId="285FD51A" w14:textId="77777777" w:rsidR="002A4754" w:rsidRDefault="002A4754">
        <w:pPr>
          <w:pStyle w:val="Footer"/>
          <w:jc w:val="right"/>
        </w:pPr>
        <w:r>
          <w:fldChar w:fldCharType="begin"/>
        </w:r>
        <w:r>
          <w:instrText xml:space="preserve"> PAGE   \* MERGEFORMAT </w:instrText>
        </w:r>
        <w:r>
          <w:fldChar w:fldCharType="separate"/>
        </w:r>
        <w:r w:rsidR="0035746B">
          <w:rPr>
            <w:noProof/>
          </w:rPr>
          <w:t>10</w:t>
        </w:r>
        <w:r>
          <w:rPr>
            <w:noProof/>
          </w:rPr>
          <w:fldChar w:fldCharType="end"/>
        </w:r>
      </w:p>
    </w:sdtContent>
  </w:sdt>
  <w:p w14:paraId="7F7F0C93" w14:textId="77777777" w:rsidR="002A4754" w:rsidRDefault="002A4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B61F0" w14:textId="77777777" w:rsidR="004C2C8A" w:rsidRDefault="004C2C8A" w:rsidP="002A4754">
      <w:r>
        <w:separator/>
      </w:r>
    </w:p>
  </w:footnote>
  <w:footnote w:type="continuationSeparator" w:id="0">
    <w:p w14:paraId="47C62E52" w14:textId="77777777" w:rsidR="004C2C8A" w:rsidRDefault="004C2C8A" w:rsidP="002A4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7D5"/>
    <w:multiLevelType w:val="hybridMultilevel"/>
    <w:tmpl w:val="11BC95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46711"/>
    <w:multiLevelType w:val="hybridMultilevel"/>
    <w:tmpl w:val="C9348136"/>
    <w:lvl w:ilvl="0" w:tplc="3E8872BC">
      <w:start w:val="1"/>
      <w:numFmt w:val="bullet"/>
      <w:lvlText w:val=""/>
      <w:lvlJc w:val="left"/>
      <w:pPr>
        <w:tabs>
          <w:tab w:val="num" w:pos="720"/>
        </w:tabs>
        <w:ind w:left="720" w:hanging="360"/>
      </w:pPr>
      <w:rPr>
        <w:rFonts w:ascii="Wingdings" w:hAnsi="Wingdings" w:hint="default"/>
      </w:rPr>
    </w:lvl>
    <w:lvl w:ilvl="1" w:tplc="F1B200D4" w:tentative="1">
      <w:start w:val="1"/>
      <w:numFmt w:val="bullet"/>
      <w:lvlText w:val=""/>
      <w:lvlJc w:val="left"/>
      <w:pPr>
        <w:tabs>
          <w:tab w:val="num" w:pos="1440"/>
        </w:tabs>
        <w:ind w:left="1440" w:hanging="360"/>
      </w:pPr>
      <w:rPr>
        <w:rFonts w:ascii="Wingdings" w:hAnsi="Wingdings" w:hint="default"/>
      </w:rPr>
    </w:lvl>
    <w:lvl w:ilvl="2" w:tplc="00B6C592" w:tentative="1">
      <w:start w:val="1"/>
      <w:numFmt w:val="bullet"/>
      <w:lvlText w:val=""/>
      <w:lvlJc w:val="left"/>
      <w:pPr>
        <w:tabs>
          <w:tab w:val="num" w:pos="2160"/>
        </w:tabs>
        <w:ind w:left="2160" w:hanging="360"/>
      </w:pPr>
      <w:rPr>
        <w:rFonts w:ascii="Wingdings" w:hAnsi="Wingdings" w:hint="default"/>
      </w:rPr>
    </w:lvl>
    <w:lvl w:ilvl="3" w:tplc="138C513C" w:tentative="1">
      <w:start w:val="1"/>
      <w:numFmt w:val="bullet"/>
      <w:lvlText w:val=""/>
      <w:lvlJc w:val="left"/>
      <w:pPr>
        <w:tabs>
          <w:tab w:val="num" w:pos="2880"/>
        </w:tabs>
        <w:ind w:left="2880" w:hanging="360"/>
      </w:pPr>
      <w:rPr>
        <w:rFonts w:ascii="Wingdings" w:hAnsi="Wingdings" w:hint="default"/>
      </w:rPr>
    </w:lvl>
    <w:lvl w:ilvl="4" w:tplc="CCFC69FC" w:tentative="1">
      <w:start w:val="1"/>
      <w:numFmt w:val="bullet"/>
      <w:lvlText w:val=""/>
      <w:lvlJc w:val="left"/>
      <w:pPr>
        <w:tabs>
          <w:tab w:val="num" w:pos="3600"/>
        </w:tabs>
        <w:ind w:left="3600" w:hanging="360"/>
      </w:pPr>
      <w:rPr>
        <w:rFonts w:ascii="Wingdings" w:hAnsi="Wingdings" w:hint="default"/>
      </w:rPr>
    </w:lvl>
    <w:lvl w:ilvl="5" w:tplc="824E5A18" w:tentative="1">
      <w:start w:val="1"/>
      <w:numFmt w:val="bullet"/>
      <w:lvlText w:val=""/>
      <w:lvlJc w:val="left"/>
      <w:pPr>
        <w:tabs>
          <w:tab w:val="num" w:pos="4320"/>
        </w:tabs>
        <w:ind w:left="4320" w:hanging="360"/>
      </w:pPr>
      <w:rPr>
        <w:rFonts w:ascii="Wingdings" w:hAnsi="Wingdings" w:hint="default"/>
      </w:rPr>
    </w:lvl>
    <w:lvl w:ilvl="6" w:tplc="B244563C" w:tentative="1">
      <w:start w:val="1"/>
      <w:numFmt w:val="bullet"/>
      <w:lvlText w:val=""/>
      <w:lvlJc w:val="left"/>
      <w:pPr>
        <w:tabs>
          <w:tab w:val="num" w:pos="5040"/>
        </w:tabs>
        <w:ind w:left="5040" w:hanging="360"/>
      </w:pPr>
      <w:rPr>
        <w:rFonts w:ascii="Wingdings" w:hAnsi="Wingdings" w:hint="default"/>
      </w:rPr>
    </w:lvl>
    <w:lvl w:ilvl="7" w:tplc="C668F696" w:tentative="1">
      <w:start w:val="1"/>
      <w:numFmt w:val="bullet"/>
      <w:lvlText w:val=""/>
      <w:lvlJc w:val="left"/>
      <w:pPr>
        <w:tabs>
          <w:tab w:val="num" w:pos="5760"/>
        </w:tabs>
        <w:ind w:left="5760" w:hanging="360"/>
      </w:pPr>
      <w:rPr>
        <w:rFonts w:ascii="Wingdings" w:hAnsi="Wingdings" w:hint="default"/>
      </w:rPr>
    </w:lvl>
    <w:lvl w:ilvl="8" w:tplc="97368C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F55D6"/>
    <w:multiLevelType w:val="hybridMultilevel"/>
    <w:tmpl w:val="7C7E4FAE"/>
    <w:lvl w:ilvl="0" w:tplc="49861A36">
      <w:start w:val="1"/>
      <w:numFmt w:val="bullet"/>
      <w:lvlText w:val=""/>
      <w:lvlJc w:val="left"/>
      <w:pPr>
        <w:tabs>
          <w:tab w:val="num" w:pos="720"/>
        </w:tabs>
        <w:ind w:left="720" w:hanging="360"/>
      </w:pPr>
      <w:rPr>
        <w:rFonts w:ascii="Wingdings" w:hAnsi="Wingdings" w:hint="default"/>
      </w:rPr>
    </w:lvl>
    <w:lvl w:ilvl="1" w:tplc="D6DE8820" w:tentative="1">
      <w:start w:val="1"/>
      <w:numFmt w:val="bullet"/>
      <w:lvlText w:val=""/>
      <w:lvlJc w:val="left"/>
      <w:pPr>
        <w:tabs>
          <w:tab w:val="num" w:pos="1440"/>
        </w:tabs>
        <w:ind w:left="1440" w:hanging="360"/>
      </w:pPr>
      <w:rPr>
        <w:rFonts w:ascii="Wingdings" w:hAnsi="Wingdings" w:hint="default"/>
      </w:rPr>
    </w:lvl>
    <w:lvl w:ilvl="2" w:tplc="A94097BE" w:tentative="1">
      <w:start w:val="1"/>
      <w:numFmt w:val="bullet"/>
      <w:lvlText w:val=""/>
      <w:lvlJc w:val="left"/>
      <w:pPr>
        <w:tabs>
          <w:tab w:val="num" w:pos="2160"/>
        </w:tabs>
        <w:ind w:left="2160" w:hanging="360"/>
      </w:pPr>
      <w:rPr>
        <w:rFonts w:ascii="Wingdings" w:hAnsi="Wingdings" w:hint="default"/>
      </w:rPr>
    </w:lvl>
    <w:lvl w:ilvl="3" w:tplc="D7EAC396" w:tentative="1">
      <w:start w:val="1"/>
      <w:numFmt w:val="bullet"/>
      <w:lvlText w:val=""/>
      <w:lvlJc w:val="left"/>
      <w:pPr>
        <w:tabs>
          <w:tab w:val="num" w:pos="2880"/>
        </w:tabs>
        <w:ind w:left="2880" w:hanging="360"/>
      </w:pPr>
      <w:rPr>
        <w:rFonts w:ascii="Wingdings" w:hAnsi="Wingdings" w:hint="default"/>
      </w:rPr>
    </w:lvl>
    <w:lvl w:ilvl="4" w:tplc="E278BAF8" w:tentative="1">
      <w:start w:val="1"/>
      <w:numFmt w:val="bullet"/>
      <w:lvlText w:val=""/>
      <w:lvlJc w:val="left"/>
      <w:pPr>
        <w:tabs>
          <w:tab w:val="num" w:pos="3600"/>
        </w:tabs>
        <w:ind w:left="3600" w:hanging="360"/>
      </w:pPr>
      <w:rPr>
        <w:rFonts w:ascii="Wingdings" w:hAnsi="Wingdings" w:hint="default"/>
      </w:rPr>
    </w:lvl>
    <w:lvl w:ilvl="5" w:tplc="5864578E" w:tentative="1">
      <w:start w:val="1"/>
      <w:numFmt w:val="bullet"/>
      <w:lvlText w:val=""/>
      <w:lvlJc w:val="left"/>
      <w:pPr>
        <w:tabs>
          <w:tab w:val="num" w:pos="4320"/>
        </w:tabs>
        <w:ind w:left="4320" w:hanging="360"/>
      </w:pPr>
      <w:rPr>
        <w:rFonts w:ascii="Wingdings" w:hAnsi="Wingdings" w:hint="default"/>
      </w:rPr>
    </w:lvl>
    <w:lvl w:ilvl="6" w:tplc="33C4581E" w:tentative="1">
      <w:start w:val="1"/>
      <w:numFmt w:val="bullet"/>
      <w:lvlText w:val=""/>
      <w:lvlJc w:val="left"/>
      <w:pPr>
        <w:tabs>
          <w:tab w:val="num" w:pos="5040"/>
        </w:tabs>
        <w:ind w:left="5040" w:hanging="360"/>
      </w:pPr>
      <w:rPr>
        <w:rFonts w:ascii="Wingdings" w:hAnsi="Wingdings" w:hint="default"/>
      </w:rPr>
    </w:lvl>
    <w:lvl w:ilvl="7" w:tplc="0A687AA6" w:tentative="1">
      <w:start w:val="1"/>
      <w:numFmt w:val="bullet"/>
      <w:lvlText w:val=""/>
      <w:lvlJc w:val="left"/>
      <w:pPr>
        <w:tabs>
          <w:tab w:val="num" w:pos="5760"/>
        </w:tabs>
        <w:ind w:left="5760" w:hanging="360"/>
      </w:pPr>
      <w:rPr>
        <w:rFonts w:ascii="Wingdings" w:hAnsi="Wingdings" w:hint="default"/>
      </w:rPr>
    </w:lvl>
    <w:lvl w:ilvl="8" w:tplc="CE1825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2352FA"/>
    <w:multiLevelType w:val="hybridMultilevel"/>
    <w:tmpl w:val="1C881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76D27"/>
    <w:multiLevelType w:val="hybridMultilevel"/>
    <w:tmpl w:val="8DD0CE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9630A6"/>
    <w:multiLevelType w:val="hybridMultilevel"/>
    <w:tmpl w:val="FB6CF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996CE8"/>
    <w:multiLevelType w:val="hybridMultilevel"/>
    <w:tmpl w:val="D988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A7F44"/>
    <w:multiLevelType w:val="hybridMultilevel"/>
    <w:tmpl w:val="383CD6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F67E81"/>
    <w:multiLevelType w:val="hybridMultilevel"/>
    <w:tmpl w:val="C45ED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0C08A5"/>
    <w:multiLevelType w:val="hybridMultilevel"/>
    <w:tmpl w:val="92BA5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00EAE"/>
    <w:multiLevelType w:val="hybridMultilevel"/>
    <w:tmpl w:val="D2C6AC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B25611"/>
    <w:multiLevelType w:val="hybridMultilevel"/>
    <w:tmpl w:val="28768C64"/>
    <w:lvl w:ilvl="0" w:tplc="783E546A">
      <w:start w:val="1"/>
      <w:numFmt w:val="bullet"/>
      <w:lvlText w:val=""/>
      <w:lvlJc w:val="left"/>
      <w:pPr>
        <w:tabs>
          <w:tab w:val="num" w:pos="720"/>
        </w:tabs>
        <w:ind w:left="720" w:hanging="360"/>
      </w:pPr>
      <w:rPr>
        <w:rFonts w:ascii="Wingdings" w:hAnsi="Wingdings" w:hint="default"/>
      </w:rPr>
    </w:lvl>
    <w:lvl w:ilvl="1" w:tplc="C3E8193E">
      <w:start w:val="1"/>
      <w:numFmt w:val="bullet"/>
      <w:lvlText w:val=""/>
      <w:lvlJc w:val="left"/>
      <w:pPr>
        <w:tabs>
          <w:tab w:val="num" w:pos="1440"/>
        </w:tabs>
        <w:ind w:left="1440" w:hanging="360"/>
      </w:pPr>
      <w:rPr>
        <w:rFonts w:ascii="Wingdings" w:hAnsi="Wingdings" w:hint="default"/>
      </w:rPr>
    </w:lvl>
    <w:lvl w:ilvl="2" w:tplc="9E709B3A" w:tentative="1">
      <w:start w:val="1"/>
      <w:numFmt w:val="bullet"/>
      <w:lvlText w:val=""/>
      <w:lvlJc w:val="left"/>
      <w:pPr>
        <w:tabs>
          <w:tab w:val="num" w:pos="2160"/>
        </w:tabs>
        <w:ind w:left="2160" w:hanging="360"/>
      </w:pPr>
      <w:rPr>
        <w:rFonts w:ascii="Wingdings" w:hAnsi="Wingdings" w:hint="default"/>
      </w:rPr>
    </w:lvl>
    <w:lvl w:ilvl="3" w:tplc="89D4F94E" w:tentative="1">
      <w:start w:val="1"/>
      <w:numFmt w:val="bullet"/>
      <w:lvlText w:val=""/>
      <w:lvlJc w:val="left"/>
      <w:pPr>
        <w:tabs>
          <w:tab w:val="num" w:pos="2880"/>
        </w:tabs>
        <w:ind w:left="2880" w:hanging="360"/>
      </w:pPr>
      <w:rPr>
        <w:rFonts w:ascii="Wingdings" w:hAnsi="Wingdings" w:hint="default"/>
      </w:rPr>
    </w:lvl>
    <w:lvl w:ilvl="4" w:tplc="E12E6350" w:tentative="1">
      <w:start w:val="1"/>
      <w:numFmt w:val="bullet"/>
      <w:lvlText w:val=""/>
      <w:lvlJc w:val="left"/>
      <w:pPr>
        <w:tabs>
          <w:tab w:val="num" w:pos="3600"/>
        </w:tabs>
        <w:ind w:left="3600" w:hanging="360"/>
      </w:pPr>
      <w:rPr>
        <w:rFonts w:ascii="Wingdings" w:hAnsi="Wingdings" w:hint="default"/>
      </w:rPr>
    </w:lvl>
    <w:lvl w:ilvl="5" w:tplc="8CDA0B9A" w:tentative="1">
      <w:start w:val="1"/>
      <w:numFmt w:val="bullet"/>
      <w:lvlText w:val=""/>
      <w:lvlJc w:val="left"/>
      <w:pPr>
        <w:tabs>
          <w:tab w:val="num" w:pos="4320"/>
        </w:tabs>
        <w:ind w:left="4320" w:hanging="360"/>
      </w:pPr>
      <w:rPr>
        <w:rFonts w:ascii="Wingdings" w:hAnsi="Wingdings" w:hint="default"/>
      </w:rPr>
    </w:lvl>
    <w:lvl w:ilvl="6" w:tplc="756C39D8" w:tentative="1">
      <w:start w:val="1"/>
      <w:numFmt w:val="bullet"/>
      <w:lvlText w:val=""/>
      <w:lvlJc w:val="left"/>
      <w:pPr>
        <w:tabs>
          <w:tab w:val="num" w:pos="5040"/>
        </w:tabs>
        <w:ind w:left="5040" w:hanging="360"/>
      </w:pPr>
      <w:rPr>
        <w:rFonts w:ascii="Wingdings" w:hAnsi="Wingdings" w:hint="default"/>
      </w:rPr>
    </w:lvl>
    <w:lvl w:ilvl="7" w:tplc="62F49A7E" w:tentative="1">
      <w:start w:val="1"/>
      <w:numFmt w:val="bullet"/>
      <w:lvlText w:val=""/>
      <w:lvlJc w:val="left"/>
      <w:pPr>
        <w:tabs>
          <w:tab w:val="num" w:pos="5760"/>
        </w:tabs>
        <w:ind w:left="5760" w:hanging="360"/>
      </w:pPr>
      <w:rPr>
        <w:rFonts w:ascii="Wingdings" w:hAnsi="Wingdings" w:hint="default"/>
      </w:rPr>
    </w:lvl>
    <w:lvl w:ilvl="8" w:tplc="81285E2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0B375A"/>
    <w:multiLevelType w:val="hybridMultilevel"/>
    <w:tmpl w:val="704A2EEC"/>
    <w:lvl w:ilvl="0" w:tplc="7E68D47A">
      <w:start w:val="1"/>
      <w:numFmt w:val="bullet"/>
      <w:lvlText w:val=""/>
      <w:lvlJc w:val="left"/>
      <w:pPr>
        <w:tabs>
          <w:tab w:val="num" w:pos="720"/>
        </w:tabs>
        <w:ind w:left="720" w:hanging="360"/>
      </w:pPr>
      <w:rPr>
        <w:rFonts w:ascii="Wingdings" w:hAnsi="Wingdings" w:hint="default"/>
      </w:rPr>
    </w:lvl>
    <w:lvl w:ilvl="1" w:tplc="F6D02808" w:tentative="1">
      <w:start w:val="1"/>
      <w:numFmt w:val="bullet"/>
      <w:lvlText w:val=""/>
      <w:lvlJc w:val="left"/>
      <w:pPr>
        <w:tabs>
          <w:tab w:val="num" w:pos="1440"/>
        </w:tabs>
        <w:ind w:left="1440" w:hanging="360"/>
      </w:pPr>
      <w:rPr>
        <w:rFonts w:ascii="Wingdings" w:hAnsi="Wingdings" w:hint="default"/>
      </w:rPr>
    </w:lvl>
    <w:lvl w:ilvl="2" w:tplc="2B7448A6" w:tentative="1">
      <w:start w:val="1"/>
      <w:numFmt w:val="bullet"/>
      <w:lvlText w:val=""/>
      <w:lvlJc w:val="left"/>
      <w:pPr>
        <w:tabs>
          <w:tab w:val="num" w:pos="2160"/>
        </w:tabs>
        <w:ind w:left="2160" w:hanging="360"/>
      </w:pPr>
      <w:rPr>
        <w:rFonts w:ascii="Wingdings" w:hAnsi="Wingdings" w:hint="default"/>
      </w:rPr>
    </w:lvl>
    <w:lvl w:ilvl="3" w:tplc="8EFA8890" w:tentative="1">
      <w:start w:val="1"/>
      <w:numFmt w:val="bullet"/>
      <w:lvlText w:val=""/>
      <w:lvlJc w:val="left"/>
      <w:pPr>
        <w:tabs>
          <w:tab w:val="num" w:pos="2880"/>
        </w:tabs>
        <w:ind w:left="2880" w:hanging="360"/>
      </w:pPr>
      <w:rPr>
        <w:rFonts w:ascii="Wingdings" w:hAnsi="Wingdings" w:hint="default"/>
      </w:rPr>
    </w:lvl>
    <w:lvl w:ilvl="4" w:tplc="60F27A24" w:tentative="1">
      <w:start w:val="1"/>
      <w:numFmt w:val="bullet"/>
      <w:lvlText w:val=""/>
      <w:lvlJc w:val="left"/>
      <w:pPr>
        <w:tabs>
          <w:tab w:val="num" w:pos="3600"/>
        </w:tabs>
        <w:ind w:left="3600" w:hanging="360"/>
      </w:pPr>
      <w:rPr>
        <w:rFonts w:ascii="Wingdings" w:hAnsi="Wingdings" w:hint="default"/>
      </w:rPr>
    </w:lvl>
    <w:lvl w:ilvl="5" w:tplc="55AAE4D4" w:tentative="1">
      <w:start w:val="1"/>
      <w:numFmt w:val="bullet"/>
      <w:lvlText w:val=""/>
      <w:lvlJc w:val="left"/>
      <w:pPr>
        <w:tabs>
          <w:tab w:val="num" w:pos="4320"/>
        </w:tabs>
        <w:ind w:left="4320" w:hanging="360"/>
      </w:pPr>
      <w:rPr>
        <w:rFonts w:ascii="Wingdings" w:hAnsi="Wingdings" w:hint="default"/>
      </w:rPr>
    </w:lvl>
    <w:lvl w:ilvl="6" w:tplc="4326826A" w:tentative="1">
      <w:start w:val="1"/>
      <w:numFmt w:val="bullet"/>
      <w:lvlText w:val=""/>
      <w:lvlJc w:val="left"/>
      <w:pPr>
        <w:tabs>
          <w:tab w:val="num" w:pos="5040"/>
        </w:tabs>
        <w:ind w:left="5040" w:hanging="360"/>
      </w:pPr>
      <w:rPr>
        <w:rFonts w:ascii="Wingdings" w:hAnsi="Wingdings" w:hint="default"/>
      </w:rPr>
    </w:lvl>
    <w:lvl w:ilvl="7" w:tplc="8190DF7E" w:tentative="1">
      <w:start w:val="1"/>
      <w:numFmt w:val="bullet"/>
      <w:lvlText w:val=""/>
      <w:lvlJc w:val="left"/>
      <w:pPr>
        <w:tabs>
          <w:tab w:val="num" w:pos="5760"/>
        </w:tabs>
        <w:ind w:left="5760" w:hanging="360"/>
      </w:pPr>
      <w:rPr>
        <w:rFonts w:ascii="Wingdings" w:hAnsi="Wingdings" w:hint="default"/>
      </w:rPr>
    </w:lvl>
    <w:lvl w:ilvl="8" w:tplc="7A58E00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5F271D"/>
    <w:multiLevelType w:val="hybridMultilevel"/>
    <w:tmpl w:val="76B0D1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6881560"/>
    <w:multiLevelType w:val="hybridMultilevel"/>
    <w:tmpl w:val="821AC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A428F6"/>
    <w:multiLevelType w:val="hybridMultilevel"/>
    <w:tmpl w:val="2AAA4A6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BC2EC2"/>
    <w:multiLevelType w:val="hybridMultilevel"/>
    <w:tmpl w:val="E8E89C4C"/>
    <w:lvl w:ilvl="0" w:tplc="B70CE3C0">
      <w:start w:val="1"/>
      <w:numFmt w:val="bullet"/>
      <w:lvlText w:val=""/>
      <w:lvlJc w:val="left"/>
      <w:pPr>
        <w:tabs>
          <w:tab w:val="num" w:pos="720"/>
        </w:tabs>
        <w:ind w:left="720" w:hanging="360"/>
      </w:pPr>
      <w:rPr>
        <w:rFonts w:ascii="Wingdings" w:hAnsi="Wingdings" w:hint="default"/>
      </w:rPr>
    </w:lvl>
    <w:lvl w:ilvl="1" w:tplc="E9947138" w:tentative="1">
      <w:start w:val="1"/>
      <w:numFmt w:val="bullet"/>
      <w:lvlText w:val=""/>
      <w:lvlJc w:val="left"/>
      <w:pPr>
        <w:tabs>
          <w:tab w:val="num" w:pos="1440"/>
        </w:tabs>
        <w:ind w:left="1440" w:hanging="360"/>
      </w:pPr>
      <w:rPr>
        <w:rFonts w:ascii="Wingdings" w:hAnsi="Wingdings" w:hint="default"/>
      </w:rPr>
    </w:lvl>
    <w:lvl w:ilvl="2" w:tplc="0C50C6C0">
      <w:start w:val="1"/>
      <w:numFmt w:val="bullet"/>
      <w:lvlText w:val=""/>
      <w:lvlJc w:val="left"/>
      <w:pPr>
        <w:tabs>
          <w:tab w:val="num" w:pos="2160"/>
        </w:tabs>
        <w:ind w:left="2160" w:hanging="360"/>
      </w:pPr>
      <w:rPr>
        <w:rFonts w:ascii="Wingdings" w:hAnsi="Wingdings" w:hint="default"/>
      </w:rPr>
    </w:lvl>
    <w:lvl w:ilvl="3" w:tplc="39643386" w:tentative="1">
      <w:start w:val="1"/>
      <w:numFmt w:val="bullet"/>
      <w:lvlText w:val=""/>
      <w:lvlJc w:val="left"/>
      <w:pPr>
        <w:tabs>
          <w:tab w:val="num" w:pos="2880"/>
        </w:tabs>
        <w:ind w:left="2880" w:hanging="360"/>
      </w:pPr>
      <w:rPr>
        <w:rFonts w:ascii="Wingdings" w:hAnsi="Wingdings" w:hint="default"/>
      </w:rPr>
    </w:lvl>
    <w:lvl w:ilvl="4" w:tplc="E83CDEBA" w:tentative="1">
      <w:start w:val="1"/>
      <w:numFmt w:val="bullet"/>
      <w:lvlText w:val=""/>
      <w:lvlJc w:val="left"/>
      <w:pPr>
        <w:tabs>
          <w:tab w:val="num" w:pos="3600"/>
        </w:tabs>
        <w:ind w:left="3600" w:hanging="360"/>
      </w:pPr>
      <w:rPr>
        <w:rFonts w:ascii="Wingdings" w:hAnsi="Wingdings" w:hint="default"/>
      </w:rPr>
    </w:lvl>
    <w:lvl w:ilvl="5" w:tplc="2578CA68" w:tentative="1">
      <w:start w:val="1"/>
      <w:numFmt w:val="bullet"/>
      <w:lvlText w:val=""/>
      <w:lvlJc w:val="left"/>
      <w:pPr>
        <w:tabs>
          <w:tab w:val="num" w:pos="4320"/>
        </w:tabs>
        <w:ind w:left="4320" w:hanging="360"/>
      </w:pPr>
      <w:rPr>
        <w:rFonts w:ascii="Wingdings" w:hAnsi="Wingdings" w:hint="default"/>
      </w:rPr>
    </w:lvl>
    <w:lvl w:ilvl="6" w:tplc="90F0AF2E" w:tentative="1">
      <w:start w:val="1"/>
      <w:numFmt w:val="bullet"/>
      <w:lvlText w:val=""/>
      <w:lvlJc w:val="left"/>
      <w:pPr>
        <w:tabs>
          <w:tab w:val="num" w:pos="5040"/>
        </w:tabs>
        <w:ind w:left="5040" w:hanging="360"/>
      </w:pPr>
      <w:rPr>
        <w:rFonts w:ascii="Wingdings" w:hAnsi="Wingdings" w:hint="default"/>
      </w:rPr>
    </w:lvl>
    <w:lvl w:ilvl="7" w:tplc="E51C05A8" w:tentative="1">
      <w:start w:val="1"/>
      <w:numFmt w:val="bullet"/>
      <w:lvlText w:val=""/>
      <w:lvlJc w:val="left"/>
      <w:pPr>
        <w:tabs>
          <w:tab w:val="num" w:pos="5760"/>
        </w:tabs>
        <w:ind w:left="5760" w:hanging="360"/>
      </w:pPr>
      <w:rPr>
        <w:rFonts w:ascii="Wingdings" w:hAnsi="Wingdings" w:hint="default"/>
      </w:rPr>
    </w:lvl>
    <w:lvl w:ilvl="8" w:tplc="57060B4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B550C5"/>
    <w:multiLevelType w:val="hybridMultilevel"/>
    <w:tmpl w:val="5F5A6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DF2F36"/>
    <w:multiLevelType w:val="hybridMultilevel"/>
    <w:tmpl w:val="183C0588"/>
    <w:lvl w:ilvl="0" w:tplc="000AEF0A">
      <w:start w:val="1"/>
      <w:numFmt w:val="bullet"/>
      <w:lvlText w:val="-"/>
      <w:lvlJc w:val="left"/>
      <w:pPr>
        <w:ind w:left="720" w:hanging="360"/>
      </w:pPr>
      <w:rPr>
        <w:rFonts w:ascii="Calibri" w:eastAsiaTheme="minorHAns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E5B0775"/>
    <w:multiLevelType w:val="hybridMultilevel"/>
    <w:tmpl w:val="6D524FDC"/>
    <w:lvl w:ilvl="0" w:tplc="0C100E48">
      <w:start w:val="1"/>
      <w:numFmt w:val="bullet"/>
      <w:lvlText w:val=""/>
      <w:lvlJc w:val="left"/>
      <w:pPr>
        <w:tabs>
          <w:tab w:val="num" w:pos="720"/>
        </w:tabs>
        <w:ind w:left="720" w:hanging="360"/>
      </w:pPr>
      <w:rPr>
        <w:rFonts w:ascii="Wingdings" w:hAnsi="Wingdings" w:hint="default"/>
      </w:rPr>
    </w:lvl>
    <w:lvl w:ilvl="1" w:tplc="612A03A6">
      <w:start w:val="1"/>
      <w:numFmt w:val="bullet"/>
      <w:lvlText w:val=""/>
      <w:lvlJc w:val="left"/>
      <w:pPr>
        <w:tabs>
          <w:tab w:val="num" w:pos="1440"/>
        </w:tabs>
        <w:ind w:left="1440" w:hanging="360"/>
      </w:pPr>
      <w:rPr>
        <w:rFonts w:ascii="Wingdings" w:hAnsi="Wingdings" w:hint="default"/>
      </w:rPr>
    </w:lvl>
    <w:lvl w:ilvl="2" w:tplc="4730538E" w:tentative="1">
      <w:start w:val="1"/>
      <w:numFmt w:val="bullet"/>
      <w:lvlText w:val=""/>
      <w:lvlJc w:val="left"/>
      <w:pPr>
        <w:tabs>
          <w:tab w:val="num" w:pos="2160"/>
        </w:tabs>
        <w:ind w:left="2160" w:hanging="360"/>
      </w:pPr>
      <w:rPr>
        <w:rFonts w:ascii="Wingdings" w:hAnsi="Wingdings" w:hint="default"/>
      </w:rPr>
    </w:lvl>
    <w:lvl w:ilvl="3" w:tplc="EE605AD6" w:tentative="1">
      <w:start w:val="1"/>
      <w:numFmt w:val="bullet"/>
      <w:lvlText w:val=""/>
      <w:lvlJc w:val="left"/>
      <w:pPr>
        <w:tabs>
          <w:tab w:val="num" w:pos="2880"/>
        </w:tabs>
        <w:ind w:left="2880" w:hanging="360"/>
      </w:pPr>
      <w:rPr>
        <w:rFonts w:ascii="Wingdings" w:hAnsi="Wingdings" w:hint="default"/>
      </w:rPr>
    </w:lvl>
    <w:lvl w:ilvl="4" w:tplc="25745D08" w:tentative="1">
      <w:start w:val="1"/>
      <w:numFmt w:val="bullet"/>
      <w:lvlText w:val=""/>
      <w:lvlJc w:val="left"/>
      <w:pPr>
        <w:tabs>
          <w:tab w:val="num" w:pos="3600"/>
        </w:tabs>
        <w:ind w:left="3600" w:hanging="360"/>
      </w:pPr>
      <w:rPr>
        <w:rFonts w:ascii="Wingdings" w:hAnsi="Wingdings" w:hint="default"/>
      </w:rPr>
    </w:lvl>
    <w:lvl w:ilvl="5" w:tplc="8FC27B2E" w:tentative="1">
      <w:start w:val="1"/>
      <w:numFmt w:val="bullet"/>
      <w:lvlText w:val=""/>
      <w:lvlJc w:val="left"/>
      <w:pPr>
        <w:tabs>
          <w:tab w:val="num" w:pos="4320"/>
        </w:tabs>
        <w:ind w:left="4320" w:hanging="360"/>
      </w:pPr>
      <w:rPr>
        <w:rFonts w:ascii="Wingdings" w:hAnsi="Wingdings" w:hint="default"/>
      </w:rPr>
    </w:lvl>
    <w:lvl w:ilvl="6" w:tplc="15A01A74" w:tentative="1">
      <w:start w:val="1"/>
      <w:numFmt w:val="bullet"/>
      <w:lvlText w:val=""/>
      <w:lvlJc w:val="left"/>
      <w:pPr>
        <w:tabs>
          <w:tab w:val="num" w:pos="5040"/>
        </w:tabs>
        <w:ind w:left="5040" w:hanging="360"/>
      </w:pPr>
      <w:rPr>
        <w:rFonts w:ascii="Wingdings" w:hAnsi="Wingdings" w:hint="default"/>
      </w:rPr>
    </w:lvl>
    <w:lvl w:ilvl="7" w:tplc="29782C46" w:tentative="1">
      <w:start w:val="1"/>
      <w:numFmt w:val="bullet"/>
      <w:lvlText w:val=""/>
      <w:lvlJc w:val="left"/>
      <w:pPr>
        <w:tabs>
          <w:tab w:val="num" w:pos="5760"/>
        </w:tabs>
        <w:ind w:left="5760" w:hanging="360"/>
      </w:pPr>
      <w:rPr>
        <w:rFonts w:ascii="Wingdings" w:hAnsi="Wingdings" w:hint="default"/>
      </w:rPr>
    </w:lvl>
    <w:lvl w:ilvl="8" w:tplc="DB9209B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D40242"/>
    <w:multiLevelType w:val="hybridMultilevel"/>
    <w:tmpl w:val="BB9A85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C02923"/>
    <w:multiLevelType w:val="hybridMultilevel"/>
    <w:tmpl w:val="C790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7053F7"/>
    <w:multiLevelType w:val="hybridMultilevel"/>
    <w:tmpl w:val="F086F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833926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6840205">
    <w:abstractNumId w:val="1"/>
  </w:num>
  <w:num w:numId="3" w16cid:durableId="1961297995">
    <w:abstractNumId w:val="16"/>
  </w:num>
  <w:num w:numId="4" w16cid:durableId="172378551">
    <w:abstractNumId w:val="18"/>
  </w:num>
  <w:num w:numId="5" w16cid:durableId="580215334">
    <w:abstractNumId w:val="21"/>
  </w:num>
  <w:num w:numId="6" w16cid:durableId="2029215889">
    <w:abstractNumId w:val="12"/>
  </w:num>
  <w:num w:numId="7" w16cid:durableId="1802453572">
    <w:abstractNumId w:val="11"/>
  </w:num>
  <w:num w:numId="8" w16cid:durableId="359404452">
    <w:abstractNumId w:val="19"/>
  </w:num>
  <w:num w:numId="9" w16cid:durableId="715129668">
    <w:abstractNumId w:val="2"/>
  </w:num>
  <w:num w:numId="10" w16cid:durableId="1069695184">
    <w:abstractNumId w:val="3"/>
  </w:num>
  <w:num w:numId="11" w16cid:durableId="1204753325">
    <w:abstractNumId w:val="17"/>
  </w:num>
  <w:num w:numId="12" w16cid:durableId="1292398560">
    <w:abstractNumId w:val="7"/>
  </w:num>
  <w:num w:numId="13" w16cid:durableId="2109544839">
    <w:abstractNumId w:val="0"/>
  </w:num>
  <w:num w:numId="14" w16cid:durableId="903688242">
    <w:abstractNumId w:val="10"/>
  </w:num>
  <w:num w:numId="15" w16cid:durableId="119497160">
    <w:abstractNumId w:val="9"/>
  </w:num>
  <w:num w:numId="16" w16cid:durableId="1539392251">
    <w:abstractNumId w:val="22"/>
  </w:num>
  <w:num w:numId="17" w16cid:durableId="1139808746">
    <w:abstractNumId w:val="6"/>
  </w:num>
  <w:num w:numId="18" w16cid:durableId="1194920657">
    <w:abstractNumId w:val="5"/>
  </w:num>
  <w:num w:numId="19" w16cid:durableId="341470941">
    <w:abstractNumId w:val="4"/>
  </w:num>
  <w:num w:numId="20" w16cid:durableId="1003243485">
    <w:abstractNumId w:val="8"/>
  </w:num>
  <w:num w:numId="21" w16cid:durableId="871572465">
    <w:abstractNumId w:val="13"/>
  </w:num>
  <w:num w:numId="22" w16cid:durableId="1741252583">
    <w:abstractNumId w:val="15"/>
  </w:num>
  <w:num w:numId="23" w16cid:durableId="173492792">
    <w:abstractNumId w:val="20"/>
  </w:num>
  <w:num w:numId="24" w16cid:durableId="5486153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ECC"/>
    <w:rsid w:val="00004C18"/>
    <w:rsid w:val="00024506"/>
    <w:rsid w:val="00092609"/>
    <w:rsid w:val="00096EA8"/>
    <w:rsid w:val="000C616C"/>
    <w:rsid w:val="000F4D19"/>
    <w:rsid w:val="001A4925"/>
    <w:rsid w:val="001E5B35"/>
    <w:rsid w:val="001F6812"/>
    <w:rsid w:val="00216FC3"/>
    <w:rsid w:val="00223491"/>
    <w:rsid w:val="0022553F"/>
    <w:rsid w:val="00247CD8"/>
    <w:rsid w:val="00266169"/>
    <w:rsid w:val="002A4754"/>
    <w:rsid w:val="002B6B66"/>
    <w:rsid w:val="002C5FFA"/>
    <w:rsid w:val="002E2917"/>
    <w:rsid w:val="002F2A87"/>
    <w:rsid w:val="002F406C"/>
    <w:rsid w:val="0035746B"/>
    <w:rsid w:val="00382BBF"/>
    <w:rsid w:val="003C0DF4"/>
    <w:rsid w:val="003E5428"/>
    <w:rsid w:val="00410CF4"/>
    <w:rsid w:val="00412CBF"/>
    <w:rsid w:val="00494AB1"/>
    <w:rsid w:val="004A4BC5"/>
    <w:rsid w:val="004C2C8A"/>
    <w:rsid w:val="004D502F"/>
    <w:rsid w:val="005202DA"/>
    <w:rsid w:val="00530D18"/>
    <w:rsid w:val="00551A44"/>
    <w:rsid w:val="005E47A4"/>
    <w:rsid w:val="005F3CB8"/>
    <w:rsid w:val="00603528"/>
    <w:rsid w:val="0065570B"/>
    <w:rsid w:val="00695598"/>
    <w:rsid w:val="006B2FEE"/>
    <w:rsid w:val="0070514C"/>
    <w:rsid w:val="00712B60"/>
    <w:rsid w:val="00715918"/>
    <w:rsid w:val="007D5515"/>
    <w:rsid w:val="007E6011"/>
    <w:rsid w:val="007F727F"/>
    <w:rsid w:val="00805CC7"/>
    <w:rsid w:val="0085107B"/>
    <w:rsid w:val="00864123"/>
    <w:rsid w:val="008C0B0D"/>
    <w:rsid w:val="008E2A57"/>
    <w:rsid w:val="00953F3E"/>
    <w:rsid w:val="00957149"/>
    <w:rsid w:val="009A6E41"/>
    <w:rsid w:val="009E2E06"/>
    <w:rsid w:val="009E7E30"/>
    <w:rsid w:val="009F7C17"/>
    <w:rsid w:val="00A169A0"/>
    <w:rsid w:val="00A4212D"/>
    <w:rsid w:val="00A8740A"/>
    <w:rsid w:val="00A90D64"/>
    <w:rsid w:val="00AA1208"/>
    <w:rsid w:val="00AA5779"/>
    <w:rsid w:val="00AF512C"/>
    <w:rsid w:val="00AF6CE4"/>
    <w:rsid w:val="00B2306E"/>
    <w:rsid w:val="00B45B4A"/>
    <w:rsid w:val="00B5558E"/>
    <w:rsid w:val="00B63CD1"/>
    <w:rsid w:val="00B77D94"/>
    <w:rsid w:val="00B8037F"/>
    <w:rsid w:val="00BA06F0"/>
    <w:rsid w:val="00BA1AD7"/>
    <w:rsid w:val="00BB6FA2"/>
    <w:rsid w:val="00BC397E"/>
    <w:rsid w:val="00BD780D"/>
    <w:rsid w:val="00BE0787"/>
    <w:rsid w:val="00C0168F"/>
    <w:rsid w:val="00C15918"/>
    <w:rsid w:val="00C60D71"/>
    <w:rsid w:val="00C6487D"/>
    <w:rsid w:val="00C65D9C"/>
    <w:rsid w:val="00C660CE"/>
    <w:rsid w:val="00C664B4"/>
    <w:rsid w:val="00C7009D"/>
    <w:rsid w:val="00CB0657"/>
    <w:rsid w:val="00CB2128"/>
    <w:rsid w:val="00CC4B64"/>
    <w:rsid w:val="00CD00FF"/>
    <w:rsid w:val="00CD4BFC"/>
    <w:rsid w:val="00CF7DC0"/>
    <w:rsid w:val="00D12C91"/>
    <w:rsid w:val="00D1583B"/>
    <w:rsid w:val="00D206E1"/>
    <w:rsid w:val="00D362E0"/>
    <w:rsid w:val="00D44E9C"/>
    <w:rsid w:val="00D75DE6"/>
    <w:rsid w:val="00D815D7"/>
    <w:rsid w:val="00DA30A9"/>
    <w:rsid w:val="00DB423A"/>
    <w:rsid w:val="00DC4586"/>
    <w:rsid w:val="00DD0EC8"/>
    <w:rsid w:val="00E05068"/>
    <w:rsid w:val="00E23B57"/>
    <w:rsid w:val="00E44FD7"/>
    <w:rsid w:val="00EE1DAF"/>
    <w:rsid w:val="00EE7DFC"/>
    <w:rsid w:val="00EF615C"/>
    <w:rsid w:val="00F03730"/>
    <w:rsid w:val="00F16ECC"/>
    <w:rsid w:val="00F40AD3"/>
    <w:rsid w:val="00F54B32"/>
    <w:rsid w:val="00F92DFC"/>
    <w:rsid w:val="00FB1D0A"/>
    <w:rsid w:val="00FC57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43125"/>
  <w15:docId w15:val="{D6B88917-D459-4163-AC34-C998BE94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EC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ECC"/>
    <w:pPr>
      <w:ind w:left="720"/>
    </w:pPr>
  </w:style>
  <w:style w:type="table" w:styleId="TableGrid">
    <w:name w:val="Table Grid"/>
    <w:basedOn w:val="TableNormal"/>
    <w:uiPriority w:val="59"/>
    <w:rsid w:val="00F16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6ECC"/>
    <w:rPr>
      <w:rFonts w:ascii="Tahoma" w:hAnsi="Tahoma" w:cs="Tahoma"/>
      <w:sz w:val="16"/>
      <w:szCs w:val="16"/>
    </w:rPr>
  </w:style>
  <w:style w:type="character" w:customStyle="1" w:styleId="BalloonTextChar">
    <w:name w:val="Balloon Text Char"/>
    <w:basedOn w:val="DefaultParagraphFont"/>
    <w:link w:val="BalloonText"/>
    <w:uiPriority w:val="99"/>
    <w:semiHidden/>
    <w:rsid w:val="00F16ECC"/>
    <w:rPr>
      <w:rFonts w:ascii="Tahoma" w:hAnsi="Tahoma" w:cs="Tahoma"/>
      <w:sz w:val="16"/>
      <w:szCs w:val="16"/>
    </w:rPr>
  </w:style>
  <w:style w:type="paragraph" w:styleId="Header">
    <w:name w:val="header"/>
    <w:basedOn w:val="Normal"/>
    <w:link w:val="HeaderChar"/>
    <w:uiPriority w:val="99"/>
    <w:unhideWhenUsed/>
    <w:rsid w:val="002A4754"/>
    <w:pPr>
      <w:tabs>
        <w:tab w:val="center" w:pos="4680"/>
        <w:tab w:val="right" w:pos="9360"/>
      </w:tabs>
    </w:pPr>
  </w:style>
  <w:style w:type="character" w:customStyle="1" w:styleId="HeaderChar">
    <w:name w:val="Header Char"/>
    <w:basedOn w:val="DefaultParagraphFont"/>
    <w:link w:val="Header"/>
    <w:uiPriority w:val="99"/>
    <w:rsid w:val="002A4754"/>
  </w:style>
  <w:style w:type="paragraph" w:styleId="Footer">
    <w:name w:val="footer"/>
    <w:basedOn w:val="Normal"/>
    <w:link w:val="FooterChar"/>
    <w:uiPriority w:val="99"/>
    <w:unhideWhenUsed/>
    <w:rsid w:val="002A4754"/>
    <w:pPr>
      <w:tabs>
        <w:tab w:val="center" w:pos="4680"/>
        <w:tab w:val="right" w:pos="9360"/>
      </w:tabs>
    </w:pPr>
  </w:style>
  <w:style w:type="character" w:customStyle="1" w:styleId="FooterChar">
    <w:name w:val="Footer Char"/>
    <w:basedOn w:val="DefaultParagraphFont"/>
    <w:link w:val="Footer"/>
    <w:uiPriority w:val="99"/>
    <w:rsid w:val="002A4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254538">
      <w:bodyDiv w:val="1"/>
      <w:marLeft w:val="0"/>
      <w:marRight w:val="0"/>
      <w:marTop w:val="0"/>
      <w:marBottom w:val="0"/>
      <w:divBdr>
        <w:top w:val="none" w:sz="0" w:space="0" w:color="auto"/>
        <w:left w:val="none" w:sz="0" w:space="0" w:color="auto"/>
        <w:bottom w:val="none" w:sz="0" w:space="0" w:color="auto"/>
        <w:right w:val="none" w:sz="0" w:space="0" w:color="auto"/>
      </w:divBdr>
      <w:divsChild>
        <w:div w:id="720059914">
          <w:marLeft w:val="1008"/>
          <w:marRight w:val="0"/>
          <w:marTop w:val="110"/>
          <w:marBottom w:val="0"/>
          <w:divBdr>
            <w:top w:val="none" w:sz="0" w:space="0" w:color="auto"/>
            <w:left w:val="none" w:sz="0" w:space="0" w:color="auto"/>
            <w:bottom w:val="none" w:sz="0" w:space="0" w:color="auto"/>
            <w:right w:val="none" w:sz="0" w:space="0" w:color="auto"/>
          </w:divBdr>
        </w:div>
      </w:divsChild>
    </w:div>
    <w:div w:id="378362917">
      <w:bodyDiv w:val="1"/>
      <w:marLeft w:val="0"/>
      <w:marRight w:val="0"/>
      <w:marTop w:val="0"/>
      <w:marBottom w:val="0"/>
      <w:divBdr>
        <w:top w:val="none" w:sz="0" w:space="0" w:color="auto"/>
        <w:left w:val="none" w:sz="0" w:space="0" w:color="auto"/>
        <w:bottom w:val="none" w:sz="0" w:space="0" w:color="auto"/>
        <w:right w:val="none" w:sz="0" w:space="0" w:color="auto"/>
      </w:divBdr>
      <w:divsChild>
        <w:div w:id="1466773448">
          <w:marLeft w:val="504"/>
          <w:marRight w:val="0"/>
          <w:marTop w:val="140"/>
          <w:marBottom w:val="0"/>
          <w:divBdr>
            <w:top w:val="none" w:sz="0" w:space="0" w:color="auto"/>
            <w:left w:val="none" w:sz="0" w:space="0" w:color="auto"/>
            <w:bottom w:val="none" w:sz="0" w:space="0" w:color="auto"/>
            <w:right w:val="none" w:sz="0" w:space="0" w:color="auto"/>
          </w:divBdr>
        </w:div>
      </w:divsChild>
    </w:div>
    <w:div w:id="419449942">
      <w:bodyDiv w:val="1"/>
      <w:marLeft w:val="0"/>
      <w:marRight w:val="0"/>
      <w:marTop w:val="0"/>
      <w:marBottom w:val="0"/>
      <w:divBdr>
        <w:top w:val="none" w:sz="0" w:space="0" w:color="auto"/>
        <w:left w:val="none" w:sz="0" w:space="0" w:color="auto"/>
        <w:bottom w:val="none" w:sz="0" w:space="0" w:color="auto"/>
        <w:right w:val="none" w:sz="0" w:space="0" w:color="auto"/>
      </w:divBdr>
    </w:div>
    <w:div w:id="469251328">
      <w:bodyDiv w:val="1"/>
      <w:marLeft w:val="0"/>
      <w:marRight w:val="0"/>
      <w:marTop w:val="0"/>
      <w:marBottom w:val="0"/>
      <w:divBdr>
        <w:top w:val="none" w:sz="0" w:space="0" w:color="auto"/>
        <w:left w:val="none" w:sz="0" w:space="0" w:color="auto"/>
        <w:bottom w:val="none" w:sz="0" w:space="0" w:color="auto"/>
        <w:right w:val="none" w:sz="0" w:space="0" w:color="auto"/>
      </w:divBdr>
    </w:div>
    <w:div w:id="493646473">
      <w:bodyDiv w:val="1"/>
      <w:marLeft w:val="0"/>
      <w:marRight w:val="0"/>
      <w:marTop w:val="0"/>
      <w:marBottom w:val="0"/>
      <w:divBdr>
        <w:top w:val="none" w:sz="0" w:space="0" w:color="auto"/>
        <w:left w:val="none" w:sz="0" w:space="0" w:color="auto"/>
        <w:bottom w:val="none" w:sz="0" w:space="0" w:color="auto"/>
        <w:right w:val="none" w:sz="0" w:space="0" w:color="auto"/>
      </w:divBdr>
      <w:divsChild>
        <w:div w:id="1638607118">
          <w:marLeft w:val="504"/>
          <w:marRight w:val="0"/>
          <w:marTop w:val="140"/>
          <w:marBottom w:val="0"/>
          <w:divBdr>
            <w:top w:val="none" w:sz="0" w:space="0" w:color="auto"/>
            <w:left w:val="none" w:sz="0" w:space="0" w:color="auto"/>
            <w:bottom w:val="none" w:sz="0" w:space="0" w:color="auto"/>
            <w:right w:val="none" w:sz="0" w:space="0" w:color="auto"/>
          </w:divBdr>
        </w:div>
      </w:divsChild>
    </w:div>
    <w:div w:id="667487683">
      <w:bodyDiv w:val="1"/>
      <w:marLeft w:val="0"/>
      <w:marRight w:val="0"/>
      <w:marTop w:val="0"/>
      <w:marBottom w:val="0"/>
      <w:divBdr>
        <w:top w:val="none" w:sz="0" w:space="0" w:color="auto"/>
        <w:left w:val="none" w:sz="0" w:space="0" w:color="auto"/>
        <w:bottom w:val="none" w:sz="0" w:space="0" w:color="auto"/>
        <w:right w:val="none" w:sz="0" w:space="0" w:color="auto"/>
      </w:divBdr>
      <w:divsChild>
        <w:div w:id="1678314031">
          <w:marLeft w:val="504"/>
          <w:marRight w:val="0"/>
          <w:marTop w:val="140"/>
          <w:marBottom w:val="0"/>
          <w:divBdr>
            <w:top w:val="none" w:sz="0" w:space="0" w:color="auto"/>
            <w:left w:val="none" w:sz="0" w:space="0" w:color="auto"/>
            <w:bottom w:val="none" w:sz="0" w:space="0" w:color="auto"/>
            <w:right w:val="none" w:sz="0" w:space="0" w:color="auto"/>
          </w:divBdr>
        </w:div>
      </w:divsChild>
    </w:div>
    <w:div w:id="743571617">
      <w:bodyDiv w:val="1"/>
      <w:marLeft w:val="0"/>
      <w:marRight w:val="0"/>
      <w:marTop w:val="0"/>
      <w:marBottom w:val="0"/>
      <w:divBdr>
        <w:top w:val="none" w:sz="0" w:space="0" w:color="auto"/>
        <w:left w:val="none" w:sz="0" w:space="0" w:color="auto"/>
        <w:bottom w:val="none" w:sz="0" w:space="0" w:color="auto"/>
        <w:right w:val="none" w:sz="0" w:space="0" w:color="auto"/>
      </w:divBdr>
      <w:divsChild>
        <w:div w:id="2115709372">
          <w:marLeft w:val="504"/>
          <w:marRight w:val="0"/>
          <w:marTop w:val="140"/>
          <w:marBottom w:val="0"/>
          <w:divBdr>
            <w:top w:val="none" w:sz="0" w:space="0" w:color="auto"/>
            <w:left w:val="none" w:sz="0" w:space="0" w:color="auto"/>
            <w:bottom w:val="none" w:sz="0" w:space="0" w:color="auto"/>
            <w:right w:val="none" w:sz="0" w:space="0" w:color="auto"/>
          </w:divBdr>
        </w:div>
      </w:divsChild>
    </w:div>
    <w:div w:id="750003643">
      <w:bodyDiv w:val="1"/>
      <w:marLeft w:val="0"/>
      <w:marRight w:val="0"/>
      <w:marTop w:val="0"/>
      <w:marBottom w:val="0"/>
      <w:divBdr>
        <w:top w:val="none" w:sz="0" w:space="0" w:color="auto"/>
        <w:left w:val="none" w:sz="0" w:space="0" w:color="auto"/>
        <w:bottom w:val="none" w:sz="0" w:space="0" w:color="auto"/>
        <w:right w:val="none" w:sz="0" w:space="0" w:color="auto"/>
      </w:divBdr>
      <w:divsChild>
        <w:div w:id="820729102">
          <w:marLeft w:val="504"/>
          <w:marRight w:val="0"/>
          <w:marTop w:val="140"/>
          <w:marBottom w:val="0"/>
          <w:divBdr>
            <w:top w:val="none" w:sz="0" w:space="0" w:color="auto"/>
            <w:left w:val="none" w:sz="0" w:space="0" w:color="auto"/>
            <w:bottom w:val="none" w:sz="0" w:space="0" w:color="auto"/>
            <w:right w:val="none" w:sz="0" w:space="0" w:color="auto"/>
          </w:divBdr>
        </w:div>
      </w:divsChild>
    </w:div>
    <w:div w:id="770010202">
      <w:bodyDiv w:val="1"/>
      <w:marLeft w:val="0"/>
      <w:marRight w:val="0"/>
      <w:marTop w:val="0"/>
      <w:marBottom w:val="0"/>
      <w:divBdr>
        <w:top w:val="none" w:sz="0" w:space="0" w:color="auto"/>
        <w:left w:val="none" w:sz="0" w:space="0" w:color="auto"/>
        <w:bottom w:val="none" w:sz="0" w:space="0" w:color="auto"/>
        <w:right w:val="none" w:sz="0" w:space="0" w:color="auto"/>
      </w:divBdr>
    </w:div>
    <w:div w:id="795611292">
      <w:bodyDiv w:val="1"/>
      <w:marLeft w:val="0"/>
      <w:marRight w:val="0"/>
      <w:marTop w:val="0"/>
      <w:marBottom w:val="0"/>
      <w:divBdr>
        <w:top w:val="none" w:sz="0" w:space="0" w:color="auto"/>
        <w:left w:val="none" w:sz="0" w:space="0" w:color="auto"/>
        <w:bottom w:val="none" w:sz="0" w:space="0" w:color="auto"/>
        <w:right w:val="none" w:sz="0" w:space="0" w:color="auto"/>
      </w:divBdr>
      <w:divsChild>
        <w:div w:id="1070496568">
          <w:marLeft w:val="1008"/>
          <w:marRight w:val="0"/>
          <w:marTop w:val="110"/>
          <w:marBottom w:val="0"/>
          <w:divBdr>
            <w:top w:val="none" w:sz="0" w:space="0" w:color="auto"/>
            <w:left w:val="none" w:sz="0" w:space="0" w:color="auto"/>
            <w:bottom w:val="none" w:sz="0" w:space="0" w:color="auto"/>
            <w:right w:val="none" w:sz="0" w:space="0" w:color="auto"/>
          </w:divBdr>
        </w:div>
      </w:divsChild>
    </w:div>
    <w:div w:id="890188961">
      <w:bodyDiv w:val="1"/>
      <w:marLeft w:val="0"/>
      <w:marRight w:val="0"/>
      <w:marTop w:val="0"/>
      <w:marBottom w:val="0"/>
      <w:divBdr>
        <w:top w:val="none" w:sz="0" w:space="0" w:color="auto"/>
        <w:left w:val="none" w:sz="0" w:space="0" w:color="auto"/>
        <w:bottom w:val="none" w:sz="0" w:space="0" w:color="auto"/>
        <w:right w:val="none" w:sz="0" w:space="0" w:color="auto"/>
      </w:divBdr>
      <w:divsChild>
        <w:div w:id="1287855748">
          <w:marLeft w:val="1008"/>
          <w:marRight w:val="0"/>
          <w:marTop w:val="110"/>
          <w:marBottom w:val="0"/>
          <w:divBdr>
            <w:top w:val="none" w:sz="0" w:space="0" w:color="auto"/>
            <w:left w:val="none" w:sz="0" w:space="0" w:color="auto"/>
            <w:bottom w:val="none" w:sz="0" w:space="0" w:color="auto"/>
            <w:right w:val="none" w:sz="0" w:space="0" w:color="auto"/>
          </w:divBdr>
        </w:div>
      </w:divsChild>
    </w:div>
    <w:div w:id="945308318">
      <w:bodyDiv w:val="1"/>
      <w:marLeft w:val="0"/>
      <w:marRight w:val="0"/>
      <w:marTop w:val="0"/>
      <w:marBottom w:val="0"/>
      <w:divBdr>
        <w:top w:val="none" w:sz="0" w:space="0" w:color="auto"/>
        <w:left w:val="none" w:sz="0" w:space="0" w:color="auto"/>
        <w:bottom w:val="none" w:sz="0" w:space="0" w:color="auto"/>
        <w:right w:val="none" w:sz="0" w:space="0" w:color="auto"/>
      </w:divBdr>
    </w:div>
    <w:div w:id="946547356">
      <w:bodyDiv w:val="1"/>
      <w:marLeft w:val="0"/>
      <w:marRight w:val="0"/>
      <w:marTop w:val="0"/>
      <w:marBottom w:val="0"/>
      <w:divBdr>
        <w:top w:val="none" w:sz="0" w:space="0" w:color="auto"/>
        <w:left w:val="none" w:sz="0" w:space="0" w:color="auto"/>
        <w:bottom w:val="none" w:sz="0" w:space="0" w:color="auto"/>
        <w:right w:val="none" w:sz="0" w:space="0" w:color="auto"/>
      </w:divBdr>
      <w:divsChild>
        <w:div w:id="1007563551">
          <w:marLeft w:val="504"/>
          <w:marRight w:val="0"/>
          <w:marTop w:val="140"/>
          <w:marBottom w:val="0"/>
          <w:divBdr>
            <w:top w:val="none" w:sz="0" w:space="0" w:color="auto"/>
            <w:left w:val="none" w:sz="0" w:space="0" w:color="auto"/>
            <w:bottom w:val="none" w:sz="0" w:space="0" w:color="auto"/>
            <w:right w:val="none" w:sz="0" w:space="0" w:color="auto"/>
          </w:divBdr>
        </w:div>
      </w:divsChild>
    </w:div>
    <w:div w:id="1015503098">
      <w:bodyDiv w:val="1"/>
      <w:marLeft w:val="0"/>
      <w:marRight w:val="0"/>
      <w:marTop w:val="0"/>
      <w:marBottom w:val="0"/>
      <w:divBdr>
        <w:top w:val="none" w:sz="0" w:space="0" w:color="auto"/>
        <w:left w:val="none" w:sz="0" w:space="0" w:color="auto"/>
        <w:bottom w:val="none" w:sz="0" w:space="0" w:color="auto"/>
        <w:right w:val="none" w:sz="0" w:space="0" w:color="auto"/>
      </w:divBdr>
      <w:divsChild>
        <w:div w:id="1974672834">
          <w:marLeft w:val="504"/>
          <w:marRight w:val="0"/>
          <w:marTop w:val="140"/>
          <w:marBottom w:val="0"/>
          <w:divBdr>
            <w:top w:val="none" w:sz="0" w:space="0" w:color="auto"/>
            <w:left w:val="none" w:sz="0" w:space="0" w:color="auto"/>
            <w:bottom w:val="none" w:sz="0" w:space="0" w:color="auto"/>
            <w:right w:val="none" w:sz="0" w:space="0" w:color="auto"/>
          </w:divBdr>
        </w:div>
        <w:div w:id="677346205">
          <w:marLeft w:val="504"/>
          <w:marRight w:val="0"/>
          <w:marTop w:val="140"/>
          <w:marBottom w:val="0"/>
          <w:divBdr>
            <w:top w:val="none" w:sz="0" w:space="0" w:color="auto"/>
            <w:left w:val="none" w:sz="0" w:space="0" w:color="auto"/>
            <w:bottom w:val="none" w:sz="0" w:space="0" w:color="auto"/>
            <w:right w:val="none" w:sz="0" w:space="0" w:color="auto"/>
          </w:divBdr>
        </w:div>
        <w:div w:id="1590654495">
          <w:marLeft w:val="504"/>
          <w:marRight w:val="0"/>
          <w:marTop w:val="140"/>
          <w:marBottom w:val="0"/>
          <w:divBdr>
            <w:top w:val="none" w:sz="0" w:space="0" w:color="auto"/>
            <w:left w:val="none" w:sz="0" w:space="0" w:color="auto"/>
            <w:bottom w:val="none" w:sz="0" w:space="0" w:color="auto"/>
            <w:right w:val="none" w:sz="0" w:space="0" w:color="auto"/>
          </w:divBdr>
        </w:div>
      </w:divsChild>
    </w:div>
    <w:div w:id="1106537784">
      <w:bodyDiv w:val="1"/>
      <w:marLeft w:val="0"/>
      <w:marRight w:val="0"/>
      <w:marTop w:val="0"/>
      <w:marBottom w:val="0"/>
      <w:divBdr>
        <w:top w:val="none" w:sz="0" w:space="0" w:color="auto"/>
        <w:left w:val="none" w:sz="0" w:space="0" w:color="auto"/>
        <w:bottom w:val="none" w:sz="0" w:space="0" w:color="auto"/>
        <w:right w:val="none" w:sz="0" w:space="0" w:color="auto"/>
      </w:divBdr>
    </w:div>
    <w:div w:id="1118985737">
      <w:bodyDiv w:val="1"/>
      <w:marLeft w:val="0"/>
      <w:marRight w:val="0"/>
      <w:marTop w:val="0"/>
      <w:marBottom w:val="0"/>
      <w:divBdr>
        <w:top w:val="none" w:sz="0" w:space="0" w:color="auto"/>
        <w:left w:val="none" w:sz="0" w:space="0" w:color="auto"/>
        <w:bottom w:val="none" w:sz="0" w:space="0" w:color="auto"/>
        <w:right w:val="none" w:sz="0" w:space="0" w:color="auto"/>
      </w:divBdr>
      <w:divsChild>
        <w:div w:id="1878011159">
          <w:marLeft w:val="1440"/>
          <w:marRight w:val="0"/>
          <w:marTop w:val="100"/>
          <w:marBottom w:val="0"/>
          <w:divBdr>
            <w:top w:val="none" w:sz="0" w:space="0" w:color="auto"/>
            <w:left w:val="none" w:sz="0" w:space="0" w:color="auto"/>
            <w:bottom w:val="none" w:sz="0" w:space="0" w:color="auto"/>
            <w:right w:val="none" w:sz="0" w:space="0" w:color="auto"/>
          </w:divBdr>
        </w:div>
        <w:div w:id="1823501220">
          <w:marLeft w:val="1440"/>
          <w:marRight w:val="0"/>
          <w:marTop w:val="100"/>
          <w:marBottom w:val="0"/>
          <w:divBdr>
            <w:top w:val="none" w:sz="0" w:space="0" w:color="auto"/>
            <w:left w:val="none" w:sz="0" w:space="0" w:color="auto"/>
            <w:bottom w:val="none" w:sz="0" w:space="0" w:color="auto"/>
            <w:right w:val="none" w:sz="0" w:space="0" w:color="auto"/>
          </w:divBdr>
        </w:div>
        <w:div w:id="449740117">
          <w:marLeft w:val="1440"/>
          <w:marRight w:val="0"/>
          <w:marTop w:val="100"/>
          <w:marBottom w:val="0"/>
          <w:divBdr>
            <w:top w:val="none" w:sz="0" w:space="0" w:color="auto"/>
            <w:left w:val="none" w:sz="0" w:space="0" w:color="auto"/>
            <w:bottom w:val="none" w:sz="0" w:space="0" w:color="auto"/>
            <w:right w:val="none" w:sz="0" w:space="0" w:color="auto"/>
          </w:divBdr>
        </w:div>
      </w:divsChild>
    </w:div>
    <w:div w:id="1354262076">
      <w:bodyDiv w:val="1"/>
      <w:marLeft w:val="0"/>
      <w:marRight w:val="0"/>
      <w:marTop w:val="0"/>
      <w:marBottom w:val="0"/>
      <w:divBdr>
        <w:top w:val="none" w:sz="0" w:space="0" w:color="auto"/>
        <w:left w:val="none" w:sz="0" w:space="0" w:color="auto"/>
        <w:bottom w:val="none" w:sz="0" w:space="0" w:color="auto"/>
        <w:right w:val="none" w:sz="0" w:space="0" w:color="auto"/>
      </w:divBdr>
      <w:divsChild>
        <w:div w:id="667098967">
          <w:marLeft w:val="1008"/>
          <w:marRight w:val="0"/>
          <w:marTop w:val="110"/>
          <w:marBottom w:val="0"/>
          <w:divBdr>
            <w:top w:val="none" w:sz="0" w:space="0" w:color="auto"/>
            <w:left w:val="none" w:sz="0" w:space="0" w:color="auto"/>
            <w:bottom w:val="none" w:sz="0" w:space="0" w:color="auto"/>
            <w:right w:val="none" w:sz="0" w:space="0" w:color="auto"/>
          </w:divBdr>
        </w:div>
      </w:divsChild>
    </w:div>
    <w:div w:id="1396319913">
      <w:bodyDiv w:val="1"/>
      <w:marLeft w:val="0"/>
      <w:marRight w:val="0"/>
      <w:marTop w:val="0"/>
      <w:marBottom w:val="0"/>
      <w:divBdr>
        <w:top w:val="none" w:sz="0" w:space="0" w:color="auto"/>
        <w:left w:val="none" w:sz="0" w:space="0" w:color="auto"/>
        <w:bottom w:val="none" w:sz="0" w:space="0" w:color="auto"/>
        <w:right w:val="none" w:sz="0" w:space="0" w:color="auto"/>
      </w:divBdr>
      <w:divsChild>
        <w:div w:id="1155682865">
          <w:marLeft w:val="1008"/>
          <w:marRight w:val="0"/>
          <w:marTop w:val="110"/>
          <w:marBottom w:val="0"/>
          <w:divBdr>
            <w:top w:val="none" w:sz="0" w:space="0" w:color="auto"/>
            <w:left w:val="none" w:sz="0" w:space="0" w:color="auto"/>
            <w:bottom w:val="none" w:sz="0" w:space="0" w:color="auto"/>
            <w:right w:val="none" w:sz="0" w:space="0" w:color="auto"/>
          </w:divBdr>
        </w:div>
      </w:divsChild>
    </w:div>
    <w:div w:id="1404597787">
      <w:bodyDiv w:val="1"/>
      <w:marLeft w:val="0"/>
      <w:marRight w:val="0"/>
      <w:marTop w:val="0"/>
      <w:marBottom w:val="0"/>
      <w:divBdr>
        <w:top w:val="none" w:sz="0" w:space="0" w:color="auto"/>
        <w:left w:val="none" w:sz="0" w:space="0" w:color="auto"/>
        <w:bottom w:val="none" w:sz="0" w:space="0" w:color="auto"/>
        <w:right w:val="none" w:sz="0" w:space="0" w:color="auto"/>
      </w:divBdr>
      <w:divsChild>
        <w:div w:id="234896893">
          <w:marLeft w:val="1440"/>
          <w:marRight w:val="0"/>
          <w:marTop w:val="100"/>
          <w:marBottom w:val="0"/>
          <w:divBdr>
            <w:top w:val="none" w:sz="0" w:space="0" w:color="auto"/>
            <w:left w:val="none" w:sz="0" w:space="0" w:color="auto"/>
            <w:bottom w:val="none" w:sz="0" w:space="0" w:color="auto"/>
            <w:right w:val="none" w:sz="0" w:space="0" w:color="auto"/>
          </w:divBdr>
        </w:div>
        <w:div w:id="655647755">
          <w:marLeft w:val="1440"/>
          <w:marRight w:val="0"/>
          <w:marTop w:val="100"/>
          <w:marBottom w:val="0"/>
          <w:divBdr>
            <w:top w:val="none" w:sz="0" w:space="0" w:color="auto"/>
            <w:left w:val="none" w:sz="0" w:space="0" w:color="auto"/>
            <w:bottom w:val="none" w:sz="0" w:space="0" w:color="auto"/>
            <w:right w:val="none" w:sz="0" w:space="0" w:color="auto"/>
          </w:divBdr>
        </w:div>
        <w:div w:id="310788183">
          <w:marLeft w:val="1440"/>
          <w:marRight w:val="0"/>
          <w:marTop w:val="100"/>
          <w:marBottom w:val="0"/>
          <w:divBdr>
            <w:top w:val="none" w:sz="0" w:space="0" w:color="auto"/>
            <w:left w:val="none" w:sz="0" w:space="0" w:color="auto"/>
            <w:bottom w:val="none" w:sz="0" w:space="0" w:color="auto"/>
            <w:right w:val="none" w:sz="0" w:space="0" w:color="auto"/>
          </w:divBdr>
        </w:div>
      </w:divsChild>
    </w:div>
    <w:div w:id="1551187171">
      <w:bodyDiv w:val="1"/>
      <w:marLeft w:val="0"/>
      <w:marRight w:val="0"/>
      <w:marTop w:val="0"/>
      <w:marBottom w:val="0"/>
      <w:divBdr>
        <w:top w:val="none" w:sz="0" w:space="0" w:color="auto"/>
        <w:left w:val="none" w:sz="0" w:space="0" w:color="auto"/>
        <w:bottom w:val="none" w:sz="0" w:space="0" w:color="auto"/>
        <w:right w:val="none" w:sz="0" w:space="0" w:color="auto"/>
      </w:divBdr>
    </w:div>
    <w:div w:id="1590887471">
      <w:bodyDiv w:val="1"/>
      <w:marLeft w:val="0"/>
      <w:marRight w:val="0"/>
      <w:marTop w:val="0"/>
      <w:marBottom w:val="0"/>
      <w:divBdr>
        <w:top w:val="none" w:sz="0" w:space="0" w:color="auto"/>
        <w:left w:val="none" w:sz="0" w:space="0" w:color="auto"/>
        <w:bottom w:val="none" w:sz="0" w:space="0" w:color="auto"/>
        <w:right w:val="none" w:sz="0" w:space="0" w:color="auto"/>
      </w:divBdr>
      <w:divsChild>
        <w:div w:id="1647978650">
          <w:marLeft w:val="1008"/>
          <w:marRight w:val="0"/>
          <w:marTop w:val="110"/>
          <w:marBottom w:val="0"/>
          <w:divBdr>
            <w:top w:val="none" w:sz="0" w:space="0" w:color="auto"/>
            <w:left w:val="none" w:sz="0" w:space="0" w:color="auto"/>
            <w:bottom w:val="none" w:sz="0" w:space="0" w:color="auto"/>
            <w:right w:val="none" w:sz="0" w:space="0" w:color="auto"/>
          </w:divBdr>
        </w:div>
        <w:div w:id="752622740">
          <w:marLeft w:val="1008"/>
          <w:marRight w:val="0"/>
          <w:marTop w:val="110"/>
          <w:marBottom w:val="0"/>
          <w:divBdr>
            <w:top w:val="none" w:sz="0" w:space="0" w:color="auto"/>
            <w:left w:val="none" w:sz="0" w:space="0" w:color="auto"/>
            <w:bottom w:val="none" w:sz="0" w:space="0" w:color="auto"/>
            <w:right w:val="none" w:sz="0" w:space="0" w:color="auto"/>
          </w:divBdr>
        </w:div>
        <w:div w:id="1691836004">
          <w:marLeft w:val="1008"/>
          <w:marRight w:val="0"/>
          <w:marTop w:val="110"/>
          <w:marBottom w:val="0"/>
          <w:divBdr>
            <w:top w:val="none" w:sz="0" w:space="0" w:color="auto"/>
            <w:left w:val="none" w:sz="0" w:space="0" w:color="auto"/>
            <w:bottom w:val="none" w:sz="0" w:space="0" w:color="auto"/>
            <w:right w:val="none" w:sz="0" w:space="0" w:color="auto"/>
          </w:divBdr>
        </w:div>
        <w:div w:id="916283504">
          <w:marLeft w:val="1008"/>
          <w:marRight w:val="0"/>
          <w:marTop w:val="110"/>
          <w:marBottom w:val="0"/>
          <w:divBdr>
            <w:top w:val="none" w:sz="0" w:space="0" w:color="auto"/>
            <w:left w:val="none" w:sz="0" w:space="0" w:color="auto"/>
            <w:bottom w:val="none" w:sz="0" w:space="0" w:color="auto"/>
            <w:right w:val="none" w:sz="0" w:space="0" w:color="auto"/>
          </w:divBdr>
        </w:div>
      </w:divsChild>
    </w:div>
    <w:div w:id="1769497839">
      <w:bodyDiv w:val="1"/>
      <w:marLeft w:val="0"/>
      <w:marRight w:val="0"/>
      <w:marTop w:val="0"/>
      <w:marBottom w:val="0"/>
      <w:divBdr>
        <w:top w:val="none" w:sz="0" w:space="0" w:color="auto"/>
        <w:left w:val="none" w:sz="0" w:space="0" w:color="auto"/>
        <w:bottom w:val="none" w:sz="0" w:space="0" w:color="auto"/>
        <w:right w:val="none" w:sz="0" w:space="0" w:color="auto"/>
      </w:divBdr>
      <w:divsChild>
        <w:div w:id="177473262">
          <w:marLeft w:val="1008"/>
          <w:marRight w:val="0"/>
          <w:marTop w:val="110"/>
          <w:marBottom w:val="0"/>
          <w:divBdr>
            <w:top w:val="none" w:sz="0" w:space="0" w:color="auto"/>
            <w:left w:val="none" w:sz="0" w:space="0" w:color="auto"/>
            <w:bottom w:val="none" w:sz="0" w:space="0" w:color="auto"/>
            <w:right w:val="none" w:sz="0" w:space="0" w:color="auto"/>
          </w:divBdr>
        </w:div>
      </w:divsChild>
    </w:div>
    <w:div w:id="1782265398">
      <w:bodyDiv w:val="1"/>
      <w:marLeft w:val="0"/>
      <w:marRight w:val="0"/>
      <w:marTop w:val="0"/>
      <w:marBottom w:val="0"/>
      <w:divBdr>
        <w:top w:val="none" w:sz="0" w:space="0" w:color="auto"/>
        <w:left w:val="none" w:sz="0" w:space="0" w:color="auto"/>
        <w:bottom w:val="none" w:sz="0" w:space="0" w:color="auto"/>
        <w:right w:val="none" w:sz="0" w:space="0" w:color="auto"/>
      </w:divBdr>
      <w:divsChild>
        <w:div w:id="1290362466">
          <w:marLeft w:val="504"/>
          <w:marRight w:val="0"/>
          <w:marTop w:val="140"/>
          <w:marBottom w:val="0"/>
          <w:divBdr>
            <w:top w:val="none" w:sz="0" w:space="0" w:color="auto"/>
            <w:left w:val="none" w:sz="0" w:space="0" w:color="auto"/>
            <w:bottom w:val="none" w:sz="0" w:space="0" w:color="auto"/>
            <w:right w:val="none" w:sz="0" w:space="0" w:color="auto"/>
          </w:divBdr>
        </w:div>
      </w:divsChild>
    </w:div>
    <w:div w:id="1868711323">
      <w:bodyDiv w:val="1"/>
      <w:marLeft w:val="0"/>
      <w:marRight w:val="0"/>
      <w:marTop w:val="0"/>
      <w:marBottom w:val="0"/>
      <w:divBdr>
        <w:top w:val="none" w:sz="0" w:space="0" w:color="auto"/>
        <w:left w:val="none" w:sz="0" w:space="0" w:color="auto"/>
        <w:bottom w:val="none" w:sz="0" w:space="0" w:color="auto"/>
        <w:right w:val="none" w:sz="0" w:space="0" w:color="auto"/>
      </w:divBdr>
      <w:divsChild>
        <w:div w:id="924725124">
          <w:marLeft w:val="504"/>
          <w:marRight w:val="0"/>
          <w:marTop w:val="140"/>
          <w:marBottom w:val="0"/>
          <w:divBdr>
            <w:top w:val="none" w:sz="0" w:space="0" w:color="auto"/>
            <w:left w:val="none" w:sz="0" w:space="0" w:color="auto"/>
            <w:bottom w:val="none" w:sz="0" w:space="0" w:color="auto"/>
            <w:right w:val="none" w:sz="0" w:space="0" w:color="auto"/>
          </w:divBdr>
        </w:div>
      </w:divsChild>
    </w:div>
    <w:div w:id="1897203805">
      <w:bodyDiv w:val="1"/>
      <w:marLeft w:val="0"/>
      <w:marRight w:val="0"/>
      <w:marTop w:val="0"/>
      <w:marBottom w:val="0"/>
      <w:divBdr>
        <w:top w:val="none" w:sz="0" w:space="0" w:color="auto"/>
        <w:left w:val="none" w:sz="0" w:space="0" w:color="auto"/>
        <w:bottom w:val="none" w:sz="0" w:space="0" w:color="auto"/>
        <w:right w:val="none" w:sz="0" w:space="0" w:color="auto"/>
      </w:divBdr>
    </w:div>
    <w:div w:id="1972906469">
      <w:bodyDiv w:val="1"/>
      <w:marLeft w:val="0"/>
      <w:marRight w:val="0"/>
      <w:marTop w:val="0"/>
      <w:marBottom w:val="0"/>
      <w:divBdr>
        <w:top w:val="none" w:sz="0" w:space="0" w:color="auto"/>
        <w:left w:val="none" w:sz="0" w:space="0" w:color="auto"/>
        <w:bottom w:val="none" w:sz="0" w:space="0" w:color="auto"/>
        <w:right w:val="none" w:sz="0" w:space="0" w:color="auto"/>
      </w:divBdr>
      <w:divsChild>
        <w:div w:id="1961763702">
          <w:marLeft w:val="504"/>
          <w:marRight w:val="0"/>
          <w:marTop w:val="140"/>
          <w:marBottom w:val="0"/>
          <w:divBdr>
            <w:top w:val="none" w:sz="0" w:space="0" w:color="auto"/>
            <w:left w:val="none" w:sz="0" w:space="0" w:color="auto"/>
            <w:bottom w:val="none" w:sz="0" w:space="0" w:color="auto"/>
            <w:right w:val="none" w:sz="0" w:space="0" w:color="auto"/>
          </w:divBdr>
        </w:div>
        <w:div w:id="159777178">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21B66-4EA5-4981-8DD0-2BBBA358A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2292</Words>
  <Characters>12612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Aguettant</dc:creator>
  <cp:lastModifiedBy>Joseph Aguettant</cp:lastModifiedBy>
  <cp:revision>3</cp:revision>
  <cp:lastPrinted>2014-02-20T14:12:00Z</cp:lastPrinted>
  <dcterms:created xsi:type="dcterms:W3CDTF">2022-11-04T17:10:00Z</dcterms:created>
  <dcterms:modified xsi:type="dcterms:W3CDTF">2022-11-04T17:12:00Z</dcterms:modified>
</cp:coreProperties>
</file>